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71D7" w14:textId="77777777" w:rsidR="00904945" w:rsidRPr="000D47EC" w:rsidRDefault="00904945" w:rsidP="00904945">
      <w:pPr>
        <w:pStyle w:val="CM1"/>
        <w:rPr>
          <w:rFonts w:cs="Arial"/>
        </w:rPr>
      </w:pPr>
    </w:p>
    <w:p w14:paraId="595A3486" w14:textId="77777777" w:rsidR="00904945" w:rsidRPr="000D47EC" w:rsidRDefault="00904945" w:rsidP="00904945">
      <w:pPr>
        <w:pStyle w:val="CM1"/>
        <w:rPr>
          <w:rFonts w:cs="Arial"/>
        </w:rPr>
      </w:pPr>
    </w:p>
    <w:p w14:paraId="7B7BD898" w14:textId="77777777" w:rsidR="004373CF" w:rsidRDefault="004373CF" w:rsidP="00904945">
      <w:pPr>
        <w:pStyle w:val="CM1"/>
        <w:ind w:left="1440" w:firstLine="720"/>
        <w:jc w:val="right"/>
        <w:rPr>
          <w:rFonts w:cs="Arial"/>
        </w:rPr>
      </w:pPr>
    </w:p>
    <w:p w14:paraId="50EDA8E5" w14:textId="77777777" w:rsidR="004373CF" w:rsidRDefault="004373CF" w:rsidP="00904945">
      <w:pPr>
        <w:pStyle w:val="CM1"/>
        <w:ind w:left="1440" w:firstLine="720"/>
        <w:jc w:val="right"/>
        <w:rPr>
          <w:rFonts w:cs="Arial"/>
        </w:rPr>
      </w:pPr>
    </w:p>
    <w:p w14:paraId="54A65AE5" w14:textId="77777777" w:rsidR="004373CF" w:rsidRDefault="004373CF" w:rsidP="00904945">
      <w:pPr>
        <w:pStyle w:val="CM1"/>
        <w:ind w:left="1440" w:firstLine="720"/>
        <w:jc w:val="right"/>
        <w:rPr>
          <w:rFonts w:cs="Arial"/>
        </w:rPr>
      </w:pPr>
    </w:p>
    <w:p w14:paraId="6961E4E9" w14:textId="77777777" w:rsidR="004373CF" w:rsidRDefault="004373CF" w:rsidP="00904945">
      <w:pPr>
        <w:pStyle w:val="CM1"/>
        <w:ind w:left="1440" w:firstLine="720"/>
        <w:jc w:val="right"/>
        <w:rPr>
          <w:rFonts w:cs="Arial"/>
        </w:rPr>
      </w:pPr>
    </w:p>
    <w:p w14:paraId="364DCA58" w14:textId="77777777" w:rsidR="004373CF" w:rsidRDefault="004373CF" w:rsidP="00904945">
      <w:pPr>
        <w:pStyle w:val="CM1"/>
        <w:ind w:left="1440" w:firstLine="720"/>
        <w:jc w:val="right"/>
        <w:rPr>
          <w:rFonts w:cs="Arial"/>
        </w:rPr>
      </w:pPr>
    </w:p>
    <w:p w14:paraId="749DD656" w14:textId="6B97B6D4" w:rsidR="00244C5A" w:rsidRPr="000D47EC" w:rsidRDefault="00244C5A" w:rsidP="00904945">
      <w:pPr>
        <w:pStyle w:val="CM1"/>
        <w:ind w:left="1440" w:firstLine="720"/>
        <w:jc w:val="right"/>
        <w:rPr>
          <w:rFonts w:cs="Arial"/>
        </w:rPr>
      </w:pPr>
      <w:r w:rsidRPr="000D47EC">
        <w:rPr>
          <w:rFonts w:cs="Arial"/>
        </w:rPr>
        <w:t>Policy ID no</w:t>
      </w:r>
      <w:r w:rsidR="00904945" w:rsidRPr="000D47EC">
        <w:rPr>
          <w:rFonts w:cs="Arial"/>
        </w:rPr>
        <w:t>:</w:t>
      </w:r>
      <w:r w:rsidR="00594916">
        <w:rPr>
          <w:rFonts w:cs="Arial"/>
        </w:rPr>
        <w:t xml:space="preserve"> DSD25-CL</w:t>
      </w:r>
    </w:p>
    <w:p w14:paraId="6634A364" w14:textId="77777777" w:rsidR="00904945" w:rsidRPr="000D47EC" w:rsidRDefault="00904945" w:rsidP="00904945">
      <w:pPr>
        <w:pStyle w:val="Default"/>
      </w:pPr>
    </w:p>
    <w:p w14:paraId="0C6D20CD" w14:textId="77777777" w:rsidR="00904945" w:rsidRPr="000D47EC" w:rsidRDefault="00904945" w:rsidP="00904945">
      <w:pPr>
        <w:pStyle w:val="Default"/>
      </w:pPr>
    </w:p>
    <w:p w14:paraId="51901A69" w14:textId="77777777" w:rsidR="00904945" w:rsidRPr="000D47EC" w:rsidRDefault="00904945" w:rsidP="00904945">
      <w:pPr>
        <w:pStyle w:val="Default"/>
      </w:pPr>
    </w:p>
    <w:p w14:paraId="205201FE" w14:textId="77777777" w:rsidR="00904945" w:rsidRPr="000D47EC" w:rsidRDefault="00904945" w:rsidP="00904945">
      <w:pPr>
        <w:pStyle w:val="Default"/>
      </w:pPr>
    </w:p>
    <w:p w14:paraId="05232A92" w14:textId="77777777" w:rsidR="00904945" w:rsidRPr="000D47EC" w:rsidRDefault="00904945" w:rsidP="00904945">
      <w:pPr>
        <w:pStyle w:val="Default"/>
      </w:pPr>
    </w:p>
    <w:p w14:paraId="3124C67B" w14:textId="77777777" w:rsidR="00773A4C" w:rsidRPr="007854AB" w:rsidRDefault="007854AB" w:rsidP="007435E5">
      <w:pPr>
        <w:pStyle w:val="CM46"/>
        <w:shd w:val="clear" w:color="auto" w:fill="0070C0"/>
        <w:spacing w:after="0"/>
        <w:jc w:val="center"/>
        <w:rPr>
          <w:rFonts w:cs="Arial"/>
          <w:b/>
          <w:bCs/>
          <w:color w:val="FFFFFF"/>
          <w:sz w:val="48"/>
          <w:szCs w:val="48"/>
        </w:rPr>
      </w:pPr>
      <w:r w:rsidRPr="007854AB">
        <w:rPr>
          <w:rFonts w:cs="Arial"/>
          <w:b/>
          <w:bCs/>
          <w:color w:val="FFFFFF"/>
          <w:sz w:val="48"/>
          <w:szCs w:val="48"/>
        </w:rPr>
        <w:t>Allocation and Use of Sporting Facilities, Grounds and Pavilions Policy</w:t>
      </w:r>
    </w:p>
    <w:p w14:paraId="6ADF334C" w14:textId="77777777" w:rsidR="003C12D2" w:rsidRPr="000D47EC" w:rsidRDefault="003C12D2" w:rsidP="003C12D2">
      <w:pPr>
        <w:pStyle w:val="Default"/>
      </w:pPr>
    </w:p>
    <w:p w14:paraId="0FBFE9EA" w14:textId="77777777" w:rsidR="00904945" w:rsidRPr="000D47EC" w:rsidRDefault="00904945" w:rsidP="001E2367">
      <w:pPr>
        <w:pStyle w:val="Default"/>
        <w:spacing w:before="1320"/>
        <w:rPr>
          <w:color w:val="auto"/>
          <w:sz w:val="20"/>
          <w:szCs w:val="20"/>
        </w:rPr>
      </w:pPr>
    </w:p>
    <w:tbl>
      <w:tblPr>
        <w:tblW w:w="0" w:type="auto"/>
        <w:tblLook w:val="04A0" w:firstRow="1" w:lastRow="0" w:firstColumn="1" w:lastColumn="0" w:noHBand="0" w:noVBand="1"/>
      </w:tblPr>
      <w:tblGrid>
        <w:gridCol w:w="5495"/>
        <w:gridCol w:w="4359"/>
      </w:tblGrid>
      <w:tr w:rsidR="00904945" w:rsidRPr="000D47EC" w14:paraId="2481F91F" w14:textId="77777777" w:rsidTr="004455ED">
        <w:trPr>
          <w:trHeight w:val="505"/>
        </w:trPr>
        <w:tc>
          <w:tcPr>
            <w:tcW w:w="5495" w:type="dxa"/>
            <w:vAlign w:val="center"/>
          </w:tcPr>
          <w:p w14:paraId="507D80DC" w14:textId="77777777" w:rsidR="00904945" w:rsidRPr="004455ED" w:rsidRDefault="00904945" w:rsidP="007854AB">
            <w:pPr>
              <w:pStyle w:val="Default"/>
              <w:rPr>
                <w:b/>
                <w:color w:val="auto"/>
                <w:sz w:val="20"/>
                <w:szCs w:val="20"/>
              </w:rPr>
            </w:pPr>
            <w:r w:rsidRPr="004455ED">
              <w:rPr>
                <w:b/>
                <w:color w:val="auto"/>
                <w:sz w:val="20"/>
                <w:szCs w:val="20"/>
              </w:rPr>
              <w:t>Date Authorised by Chief Executive Officer or Council:</w:t>
            </w:r>
          </w:p>
        </w:tc>
        <w:tc>
          <w:tcPr>
            <w:tcW w:w="4359" w:type="dxa"/>
            <w:vAlign w:val="center"/>
          </w:tcPr>
          <w:p w14:paraId="79C5635E" w14:textId="77777777" w:rsidR="00904945" w:rsidRPr="004455ED" w:rsidRDefault="006E7734" w:rsidP="007854AB">
            <w:pPr>
              <w:pStyle w:val="Default"/>
              <w:rPr>
                <w:color w:val="auto"/>
                <w:sz w:val="20"/>
                <w:szCs w:val="20"/>
              </w:rPr>
            </w:pPr>
            <w:r w:rsidRPr="004455ED">
              <w:rPr>
                <w:color w:val="auto"/>
                <w:sz w:val="20"/>
                <w:szCs w:val="20"/>
              </w:rPr>
              <w:t>10 February 2016</w:t>
            </w:r>
          </w:p>
        </w:tc>
      </w:tr>
      <w:tr w:rsidR="00904945" w:rsidRPr="000D47EC" w14:paraId="541DA180" w14:textId="77777777" w:rsidTr="004455ED">
        <w:trPr>
          <w:trHeight w:val="426"/>
        </w:trPr>
        <w:tc>
          <w:tcPr>
            <w:tcW w:w="5495" w:type="dxa"/>
            <w:vAlign w:val="center"/>
          </w:tcPr>
          <w:p w14:paraId="293EEA5D" w14:textId="77777777" w:rsidR="00904945" w:rsidRPr="004455ED" w:rsidRDefault="00904945" w:rsidP="007854AB">
            <w:pPr>
              <w:pStyle w:val="Default"/>
              <w:rPr>
                <w:b/>
                <w:color w:val="auto"/>
                <w:sz w:val="20"/>
                <w:szCs w:val="20"/>
              </w:rPr>
            </w:pPr>
            <w:r w:rsidRPr="004455ED">
              <w:rPr>
                <w:b/>
                <w:color w:val="auto"/>
                <w:sz w:val="20"/>
                <w:szCs w:val="20"/>
              </w:rPr>
              <w:t>Commencement Date:</w:t>
            </w:r>
          </w:p>
        </w:tc>
        <w:tc>
          <w:tcPr>
            <w:tcW w:w="4359" w:type="dxa"/>
            <w:vAlign w:val="center"/>
          </w:tcPr>
          <w:p w14:paraId="6DB1ABED" w14:textId="77777777" w:rsidR="00904945" w:rsidRPr="004455ED" w:rsidRDefault="006E7734" w:rsidP="007854AB">
            <w:pPr>
              <w:pStyle w:val="Default"/>
              <w:rPr>
                <w:color w:val="auto"/>
                <w:sz w:val="20"/>
                <w:szCs w:val="20"/>
              </w:rPr>
            </w:pPr>
            <w:r w:rsidRPr="004455ED">
              <w:rPr>
                <w:color w:val="auto"/>
                <w:sz w:val="20"/>
                <w:szCs w:val="20"/>
              </w:rPr>
              <w:t>10 February 2016</w:t>
            </w:r>
          </w:p>
        </w:tc>
      </w:tr>
      <w:tr w:rsidR="00904945" w:rsidRPr="000D47EC" w14:paraId="75EB7920" w14:textId="77777777" w:rsidTr="004455ED">
        <w:trPr>
          <w:trHeight w:val="473"/>
        </w:trPr>
        <w:tc>
          <w:tcPr>
            <w:tcW w:w="5495" w:type="dxa"/>
            <w:vAlign w:val="center"/>
          </w:tcPr>
          <w:p w14:paraId="0FC995D4" w14:textId="77777777" w:rsidR="00711988" w:rsidRPr="004455ED" w:rsidRDefault="00904945" w:rsidP="007854AB">
            <w:pPr>
              <w:pStyle w:val="Default"/>
              <w:rPr>
                <w:b/>
                <w:color w:val="auto"/>
                <w:sz w:val="20"/>
                <w:szCs w:val="20"/>
              </w:rPr>
            </w:pPr>
            <w:r w:rsidRPr="004455ED">
              <w:rPr>
                <w:b/>
                <w:color w:val="auto"/>
                <w:sz w:val="20"/>
                <w:szCs w:val="20"/>
              </w:rPr>
              <w:t xml:space="preserve">Review Date (10 years from authorised date): </w:t>
            </w:r>
          </w:p>
        </w:tc>
        <w:tc>
          <w:tcPr>
            <w:tcW w:w="4359" w:type="dxa"/>
            <w:vAlign w:val="center"/>
          </w:tcPr>
          <w:p w14:paraId="43858FD3" w14:textId="77777777" w:rsidR="00904945" w:rsidRPr="004455ED" w:rsidRDefault="00C96374" w:rsidP="007854AB">
            <w:pPr>
              <w:pStyle w:val="Default"/>
              <w:rPr>
                <w:color w:val="auto"/>
                <w:sz w:val="20"/>
                <w:szCs w:val="20"/>
              </w:rPr>
            </w:pPr>
            <w:r w:rsidRPr="004455ED">
              <w:rPr>
                <w:color w:val="auto"/>
                <w:sz w:val="20"/>
                <w:szCs w:val="20"/>
              </w:rPr>
              <w:t>February 2026</w:t>
            </w:r>
          </w:p>
        </w:tc>
      </w:tr>
      <w:tr w:rsidR="00904945" w:rsidRPr="000D47EC" w14:paraId="68DBC9F6" w14:textId="77777777" w:rsidTr="004455ED">
        <w:trPr>
          <w:trHeight w:val="525"/>
        </w:trPr>
        <w:tc>
          <w:tcPr>
            <w:tcW w:w="5495" w:type="dxa"/>
            <w:vAlign w:val="center"/>
          </w:tcPr>
          <w:p w14:paraId="6592BAE8" w14:textId="77777777" w:rsidR="00EC4DB3" w:rsidRPr="004455ED" w:rsidRDefault="00904945" w:rsidP="007854AB">
            <w:pPr>
              <w:pStyle w:val="Default"/>
              <w:rPr>
                <w:b/>
                <w:color w:val="auto"/>
                <w:sz w:val="20"/>
                <w:szCs w:val="20"/>
              </w:rPr>
            </w:pPr>
            <w:r w:rsidRPr="004455ED">
              <w:rPr>
                <w:b/>
                <w:color w:val="auto"/>
                <w:sz w:val="20"/>
                <w:szCs w:val="20"/>
              </w:rPr>
              <w:t>Responsible Department</w:t>
            </w:r>
          </w:p>
        </w:tc>
        <w:tc>
          <w:tcPr>
            <w:tcW w:w="4359" w:type="dxa"/>
            <w:vAlign w:val="center"/>
          </w:tcPr>
          <w:p w14:paraId="491940E7" w14:textId="77777777" w:rsidR="00904945" w:rsidRPr="004455ED" w:rsidRDefault="007854AB" w:rsidP="007854AB">
            <w:pPr>
              <w:pStyle w:val="Default"/>
              <w:rPr>
                <w:color w:val="auto"/>
                <w:sz w:val="20"/>
                <w:szCs w:val="20"/>
              </w:rPr>
            </w:pPr>
            <w:r w:rsidRPr="004455ED">
              <w:rPr>
                <w:color w:val="auto"/>
                <w:sz w:val="20"/>
                <w:szCs w:val="20"/>
              </w:rPr>
              <w:t>Social Development</w:t>
            </w:r>
          </w:p>
        </w:tc>
      </w:tr>
    </w:tbl>
    <w:p w14:paraId="52DFDFB9" w14:textId="77777777" w:rsidR="00904945" w:rsidRPr="000D47EC" w:rsidRDefault="00904945" w:rsidP="001E2367">
      <w:pPr>
        <w:pStyle w:val="Default"/>
        <w:spacing w:before="1320"/>
        <w:rPr>
          <w:color w:val="auto"/>
          <w:sz w:val="20"/>
          <w:szCs w:val="20"/>
        </w:rPr>
      </w:pPr>
    </w:p>
    <w:p w14:paraId="7196919F" w14:textId="77777777" w:rsidR="00904945" w:rsidRPr="000D47EC" w:rsidRDefault="002A784D" w:rsidP="001E2367">
      <w:pPr>
        <w:pStyle w:val="Default"/>
        <w:spacing w:before="1320"/>
        <w:rPr>
          <w:color w:val="auto"/>
          <w:sz w:val="20"/>
          <w:szCs w:val="20"/>
        </w:rPr>
      </w:pPr>
      <w:r>
        <w:rPr>
          <w:color w:val="auto"/>
          <w:sz w:val="20"/>
          <w:szCs w:val="20"/>
        </w:rPr>
        <w:t>This policy has been authorised.</w:t>
      </w:r>
    </w:p>
    <w:p w14:paraId="385D83AA" w14:textId="77777777" w:rsidR="00904945" w:rsidRPr="000D47EC" w:rsidRDefault="00904945" w:rsidP="00904945">
      <w:pPr>
        <w:pStyle w:val="Default"/>
        <w:jc w:val="right"/>
        <w:rPr>
          <w:color w:val="auto"/>
          <w:sz w:val="20"/>
          <w:szCs w:val="20"/>
        </w:rPr>
      </w:pPr>
      <w:r w:rsidRPr="000D47EC">
        <w:rPr>
          <w:color w:val="auto"/>
          <w:sz w:val="20"/>
          <w:szCs w:val="20"/>
        </w:rPr>
        <w:tab/>
      </w:r>
    </w:p>
    <w:p w14:paraId="7690D0D2" w14:textId="77777777" w:rsidR="00904945" w:rsidRPr="000D47EC" w:rsidRDefault="00904945" w:rsidP="00904945">
      <w:pPr>
        <w:pStyle w:val="Default"/>
        <w:jc w:val="right"/>
        <w:rPr>
          <w:color w:val="auto"/>
          <w:sz w:val="20"/>
          <w:szCs w:val="20"/>
        </w:rPr>
      </w:pPr>
    </w:p>
    <w:p w14:paraId="2CA7EDBE" w14:textId="77777777" w:rsidR="00D414A8" w:rsidRPr="000D47EC" w:rsidRDefault="00D414A8" w:rsidP="00904945">
      <w:pPr>
        <w:pStyle w:val="Default"/>
        <w:jc w:val="right"/>
        <w:rPr>
          <w:color w:val="auto"/>
          <w:sz w:val="20"/>
          <w:szCs w:val="20"/>
        </w:rPr>
      </w:pPr>
    </w:p>
    <w:p w14:paraId="415869C4" w14:textId="77777777" w:rsidR="00904945" w:rsidRPr="000D47EC" w:rsidRDefault="00904945" w:rsidP="00904945">
      <w:pPr>
        <w:pStyle w:val="Default"/>
        <w:jc w:val="right"/>
        <w:rPr>
          <w:color w:val="auto"/>
          <w:sz w:val="20"/>
          <w:szCs w:val="20"/>
        </w:rPr>
      </w:pPr>
    </w:p>
    <w:p w14:paraId="77DE5293" w14:textId="77777777" w:rsidR="00904945" w:rsidRPr="000D47EC" w:rsidRDefault="00904945" w:rsidP="00904945">
      <w:pPr>
        <w:pStyle w:val="Default"/>
        <w:jc w:val="right"/>
        <w:rPr>
          <w:color w:val="auto"/>
          <w:sz w:val="20"/>
          <w:szCs w:val="20"/>
        </w:rPr>
      </w:pPr>
    </w:p>
    <w:p w14:paraId="2712D175" w14:textId="77777777" w:rsidR="00904945" w:rsidRPr="000D47EC" w:rsidRDefault="00904945" w:rsidP="00904945">
      <w:pPr>
        <w:pStyle w:val="Default"/>
        <w:jc w:val="right"/>
        <w:rPr>
          <w:color w:val="auto"/>
          <w:sz w:val="20"/>
          <w:szCs w:val="20"/>
        </w:rPr>
      </w:pPr>
    </w:p>
    <w:p w14:paraId="17FA3951" w14:textId="77777777" w:rsidR="00904945" w:rsidRPr="000D47EC" w:rsidRDefault="002A784D" w:rsidP="00904945">
      <w:pPr>
        <w:pStyle w:val="Default"/>
        <w:jc w:val="right"/>
        <w:rPr>
          <w:color w:val="auto"/>
          <w:sz w:val="20"/>
          <w:szCs w:val="20"/>
        </w:rPr>
      </w:pPr>
      <w:r>
        <w:rPr>
          <w:color w:val="auto"/>
          <w:sz w:val="20"/>
          <w:szCs w:val="20"/>
        </w:rPr>
        <w:t>Nerina Di Lorenzo</w:t>
      </w:r>
    </w:p>
    <w:p w14:paraId="75759AA9" w14:textId="77777777" w:rsidR="00904945" w:rsidRPr="000D47EC" w:rsidRDefault="00904945" w:rsidP="00904945">
      <w:pPr>
        <w:pStyle w:val="Default"/>
        <w:jc w:val="right"/>
        <w:rPr>
          <w:b/>
          <w:color w:val="auto"/>
          <w:sz w:val="20"/>
          <w:szCs w:val="20"/>
        </w:rPr>
      </w:pPr>
      <w:r w:rsidRPr="000D47EC">
        <w:rPr>
          <w:b/>
          <w:color w:val="auto"/>
          <w:sz w:val="20"/>
          <w:szCs w:val="20"/>
        </w:rPr>
        <w:t>Chief Executive Officer</w:t>
      </w:r>
    </w:p>
    <w:p w14:paraId="3BBB351D" w14:textId="77777777" w:rsidR="00904945" w:rsidRPr="000D47EC" w:rsidRDefault="00904945" w:rsidP="00904945">
      <w:pPr>
        <w:pStyle w:val="Default"/>
        <w:jc w:val="right"/>
        <w:rPr>
          <w:b/>
          <w:color w:val="auto"/>
          <w:sz w:val="20"/>
          <w:szCs w:val="20"/>
        </w:rPr>
      </w:pPr>
    </w:p>
    <w:p w14:paraId="17F16CC9" w14:textId="77777777" w:rsidR="00AF0BF9" w:rsidRPr="000D47EC" w:rsidRDefault="006E7734" w:rsidP="00904945">
      <w:pPr>
        <w:pStyle w:val="Default"/>
        <w:jc w:val="right"/>
        <w:rPr>
          <w:color w:val="auto"/>
          <w:sz w:val="20"/>
          <w:szCs w:val="20"/>
        </w:rPr>
      </w:pPr>
      <w:r>
        <w:rPr>
          <w:color w:val="auto"/>
          <w:sz w:val="20"/>
          <w:szCs w:val="20"/>
        </w:rPr>
        <w:t>10 February 2016</w:t>
      </w:r>
    </w:p>
    <w:p w14:paraId="23E706EE" w14:textId="77777777" w:rsidR="00904945" w:rsidRPr="000D47EC" w:rsidRDefault="00904945" w:rsidP="00904945">
      <w:pPr>
        <w:pStyle w:val="Default"/>
        <w:jc w:val="right"/>
        <w:rPr>
          <w:color w:val="auto"/>
          <w:sz w:val="20"/>
          <w:szCs w:val="20"/>
        </w:rPr>
      </w:pPr>
    </w:p>
    <w:p w14:paraId="71019CDE" w14:textId="77777777" w:rsidR="00244C5A" w:rsidRPr="000D47EC" w:rsidRDefault="00EA5DDF" w:rsidP="000D47EC">
      <w:pPr>
        <w:pStyle w:val="PolicyHeading1"/>
      </w:pPr>
      <w:bookmarkStart w:id="0" w:name="_Toc336507811"/>
      <w:bookmarkStart w:id="1" w:name="_Toc338250690"/>
      <w:r w:rsidRPr="000D47EC">
        <w:lastRenderedPageBreak/>
        <w:t>INT</w:t>
      </w:r>
      <w:r w:rsidR="00730087" w:rsidRPr="000D47EC">
        <w:t>RODUCTION</w:t>
      </w:r>
      <w:bookmarkEnd w:id="0"/>
      <w:bookmarkEnd w:id="1"/>
    </w:p>
    <w:p w14:paraId="65EBEAA1" w14:textId="77777777" w:rsidR="007854AB" w:rsidRPr="007A3755" w:rsidRDefault="007854AB" w:rsidP="00750AA5">
      <w:pPr>
        <w:pStyle w:val="Policybodytext"/>
      </w:pPr>
      <w:r w:rsidRPr="007A3755">
        <w:t>To provide a framework for the allocation and use of sporting facilities, grounds, and pavilions to clubs through seasonal and annual tenancy agreements or lease agreements.</w:t>
      </w:r>
    </w:p>
    <w:p w14:paraId="2695179A" w14:textId="77777777" w:rsidR="007854AB" w:rsidRPr="007A3755" w:rsidRDefault="007854AB" w:rsidP="00750AA5">
      <w:pPr>
        <w:pStyle w:val="Policybodytext"/>
      </w:pPr>
      <w:r w:rsidRPr="007A3755">
        <w:t>The allocation and use of sporting facilities, grounds and pavilions policy seeks to:</w:t>
      </w:r>
    </w:p>
    <w:p w14:paraId="40B7451D" w14:textId="77777777" w:rsidR="007854AB" w:rsidRPr="00A46779" w:rsidRDefault="00F80543" w:rsidP="00750AA5">
      <w:pPr>
        <w:pStyle w:val="PolicyBulletPoint"/>
      </w:pPr>
      <w:r>
        <w:rPr>
          <w:spacing w:val="1"/>
        </w:rPr>
        <w:t>M</w:t>
      </w:r>
      <w:r w:rsidR="007854AB" w:rsidRPr="00A46779">
        <w:t>a</w:t>
      </w:r>
      <w:r w:rsidR="007854AB" w:rsidRPr="00A46779">
        <w:rPr>
          <w:spacing w:val="-3"/>
        </w:rPr>
        <w:t>x</w:t>
      </w:r>
      <w:r w:rsidR="007854AB" w:rsidRPr="00A46779">
        <w:rPr>
          <w:spacing w:val="-1"/>
        </w:rPr>
        <w:t>i</w:t>
      </w:r>
      <w:r w:rsidR="007854AB" w:rsidRPr="00A46779">
        <w:rPr>
          <w:spacing w:val="1"/>
        </w:rPr>
        <w:t>m</w:t>
      </w:r>
      <w:r w:rsidR="007854AB" w:rsidRPr="00A46779">
        <w:rPr>
          <w:spacing w:val="-1"/>
        </w:rPr>
        <w:t>i</w:t>
      </w:r>
      <w:r w:rsidR="007854AB" w:rsidRPr="00A46779">
        <w:t xml:space="preserve">se </w:t>
      </w:r>
      <w:r w:rsidR="007854AB" w:rsidRPr="00A46779">
        <w:rPr>
          <w:spacing w:val="-2"/>
        </w:rPr>
        <w:t>p</w:t>
      </w:r>
      <w:r w:rsidR="007854AB" w:rsidRPr="00A46779">
        <w:t>a</w:t>
      </w:r>
      <w:r w:rsidR="007854AB" w:rsidRPr="00A46779">
        <w:rPr>
          <w:spacing w:val="-1"/>
        </w:rPr>
        <w:t>r</w:t>
      </w:r>
      <w:r w:rsidR="007854AB" w:rsidRPr="00A46779">
        <w:t>t</w:t>
      </w:r>
      <w:r w:rsidR="007854AB" w:rsidRPr="00A46779">
        <w:rPr>
          <w:spacing w:val="-1"/>
        </w:rPr>
        <w:t>i</w:t>
      </w:r>
      <w:r w:rsidR="007854AB" w:rsidRPr="00A46779">
        <w:t>c</w:t>
      </w:r>
      <w:r w:rsidR="007854AB" w:rsidRPr="00A46779">
        <w:rPr>
          <w:spacing w:val="-2"/>
        </w:rPr>
        <w:t>i</w:t>
      </w:r>
      <w:r w:rsidR="007854AB" w:rsidRPr="00A46779">
        <w:t>pat</w:t>
      </w:r>
      <w:r w:rsidR="007854AB" w:rsidRPr="00A46779">
        <w:rPr>
          <w:spacing w:val="-1"/>
        </w:rPr>
        <w:t>i</w:t>
      </w:r>
      <w:r w:rsidR="007854AB" w:rsidRPr="00A46779">
        <w:rPr>
          <w:spacing w:val="-2"/>
        </w:rPr>
        <w:t>o</w:t>
      </w:r>
      <w:r w:rsidR="007854AB" w:rsidRPr="00A46779">
        <w:t>n</w:t>
      </w:r>
      <w:r w:rsidR="007854AB" w:rsidRPr="00A46779">
        <w:rPr>
          <w:spacing w:val="-1"/>
        </w:rPr>
        <w:t xml:space="preserve"> i</w:t>
      </w:r>
      <w:r w:rsidR="007854AB" w:rsidRPr="00A46779">
        <w:t>n</w:t>
      </w:r>
      <w:r w:rsidR="007854AB" w:rsidRPr="00A46779">
        <w:rPr>
          <w:spacing w:val="1"/>
        </w:rPr>
        <w:t xml:space="preserve"> </w:t>
      </w:r>
      <w:r w:rsidR="007854AB" w:rsidRPr="00A46779">
        <w:t>spo</w:t>
      </w:r>
      <w:r w:rsidR="007854AB" w:rsidRPr="00A46779">
        <w:rPr>
          <w:spacing w:val="-1"/>
        </w:rPr>
        <w:t>r</w:t>
      </w:r>
      <w:r w:rsidR="007854AB" w:rsidRPr="00A46779">
        <w:t>t</w:t>
      </w:r>
      <w:r w:rsidR="007854AB" w:rsidRPr="00A46779">
        <w:rPr>
          <w:spacing w:val="-2"/>
        </w:rPr>
        <w:t xml:space="preserve"> </w:t>
      </w:r>
      <w:r w:rsidR="007854AB" w:rsidRPr="00A46779">
        <w:t>and</w:t>
      </w:r>
      <w:r w:rsidR="007854AB" w:rsidRPr="00A46779">
        <w:rPr>
          <w:spacing w:val="-1"/>
        </w:rPr>
        <w:t xml:space="preserve"> r</w:t>
      </w:r>
      <w:r w:rsidR="007854AB" w:rsidRPr="00A46779">
        <w:t>ec</w:t>
      </w:r>
      <w:r w:rsidR="007854AB" w:rsidRPr="00A46779">
        <w:rPr>
          <w:spacing w:val="-2"/>
        </w:rPr>
        <w:t>r</w:t>
      </w:r>
      <w:r w:rsidR="007854AB" w:rsidRPr="00A46779">
        <w:t>eat</w:t>
      </w:r>
      <w:r w:rsidR="007854AB" w:rsidRPr="00A46779">
        <w:rPr>
          <w:spacing w:val="-3"/>
        </w:rPr>
        <w:t>i</w:t>
      </w:r>
      <w:r w:rsidR="007854AB" w:rsidRPr="00A46779">
        <w:t>on</w:t>
      </w:r>
      <w:r w:rsidR="007854AB" w:rsidRPr="00A46779">
        <w:rPr>
          <w:spacing w:val="-1"/>
        </w:rPr>
        <w:t xml:space="preserve"> </w:t>
      </w:r>
      <w:r w:rsidR="007854AB" w:rsidRPr="00A46779">
        <w:t>on</w:t>
      </w:r>
      <w:r w:rsidR="007854AB" w:rsidRPr="00A46779">
        <w:rPr>
          <w:spacing w:val="1"/>
        </w:rPr>
        <w:t xml:space="preserve"> </w:t>
      </w:r>
      <w:r w:rsidR="007854AB" w:rsidRPr="00A46779">
        <w:t>s</w:t>
      </w:r>
      <w:r w:rsidR="007854AB" w:rsidRPr="00A46779">
        <w:rPr>
          <w:spacing w:val="-3"/>
        </w:rPr>
        <w:t>p</w:t>
      </w:r>
      <w:r w:rsidR="007854AB" w:rsidRPr="00A46779">
        <w:t>o</w:t>
      </w:r>
      <w:r w:rsidR="007854AB" w:rsidRPr="00A46779">
        <w:rPr>
          <w:spacing w:val="-1"/>
        </w:rPr>
        <w:t>r</w:t>
      </w:r>
      <w:r w:rsidR="007854AB" w:rsidRPr="00A46779">
        <w:t>t</w:t>
      </w:r>
      <w:r w:rsidR="007854AB" w:rsidRPr="00A46779">
        <w:rPr>
          <w:spacing w:val="-1"/>
        </w:rPr>
        <w:t>i</w:t>
      </w:r>
      <w:r w:rsidR="007854AB" w:rsidRPr="00A46779">
        <w:t>ng</w:t>
      </w:r>
      <w:r w:rsidR="007854AB" w:rsidRPr="00A46779">
        <w:rPr>
          <w:spacing w:val="-1"/>
        </w:rPr>
        <w:t xml:space="preserve"> </w:t>
      </w:r>
      <w:r w:rsidR="007854AB" w:rsidRPr="00A46779">
        <w:rPr>
          <w:spacing w:val="-2"/>
        </w:rPr>
        <w:t>facilities, grounds and pavilions</w:t>
      </w:r>
      <w:r>
        <w:t>;</w:t>
      </w:r>
    </w:p>
    <w:p w14:paraId="51E33F07" w14:textId="77777777" w:rsidR="007854AB" w:rsidRPr="00A46779" w:rsidRDefault="00F80543" w:rsidP="00750AA5">
      <w:pPr>
        <w:pStyle w:val="PolicyBulletPoint"/>
      </w:pPr>
      <w:r>
        <w:t>P</w:t>
      </w:r>
      <w:r w:rsidR="007854AB" w:rsidRPr="00A46779">
        <w:rPr>
          <w:spacing w:val="-1"/>
        </w:rPr>
        <w:t>ri</w:t>
      </w:r>
      <w:r w:rsidR="007854AB" w:rsidRPr="00A46779">
        <w:t>o</w:t>
      </w:r>
      <w:r w:rsidR="007854AB" w:rsidRPr="00A46779">
        <w:rPr>
          <w:spacing w:val="-1"/>
        </w:rPr>
        <w:t>ri</w:t>
      </w:r>
      <w:r w:rsidR="007854AB" w:rsidRPr="00A46779">
        <w:t>t</w:t>
      </w:r>
      <w:r w:rsidR="007854AB" w:rsidRPr="00A46779">
        <w:rPr>
          <w:spacing w:val="-1"/>
        </w:rPr>
        <w:t>i</w:t>
      </w:r>
      <w:r w:rsidR="007854AB" w:rsidRPr="00A46779">
        <w:t>se the</w:t>
      </w:r>
      <w:r w:rsidR="007854AB" w:rsidRPr="00A46779">
        <w:rPr>
          <w:spacing w:val="-1"/>
        </w:rPr>
        <w:t xml:space="preserve"> </w:t>
      </w:r>
      <w:r w:rsidR="007854AB" w:rsidRPr="00A46779">
        <w:t>a</w:t>
      </w:r>
      <w:r w:rsidR="007854AB" w:rsidRPr="00A46779">
        <w:rPr>
          <w:spacing w:val="-1"/>
        </w:rPr>
        <w:t>ll</w:t>
      </w:r>
      <w:r w:rsidR="007854AB" w:rsidRPr="00A46779">
        <w:t>ocat</w:t>
      </w:r>
      <w:r w:rsidR="007854AB" w:rsidRPr="00A46779">
        <w:rPr>
          <w:spacing w:val="-3"/>
        </w:rPr>
        <w:t>i</w:t>
      </w:r>
      <w:r w:rsidR="007854AB" w:rsidRPr="00A46779">
        <w:t>on</w:t>
      </w:r>
      <w:r w:rsidR="007854AB" w:rsidRPr="00A46779">
        <w:rPr>
          <w:spacing w:val="-1"/>
        </w:rPr>
        <w:t xml:space="preserve"> </w:t>
      </w:r>
      <w:r w:rsidR="007854AB" w:rsidRPr="00A46779">
        <w:t>and</w:t>
      </w:r>
      <w:r w:rsidR="007854AB" w:rsidRPr="00A46779">
        <w:rPr>
          <w:spacing w:val="-1"/>
        </w:rPr>
        <w:t xml:space="preserve"> </w:t>
      </w:r>
      <w:r w:rsidR="007854AB" w:rsidRPr="00A46779">
        <w:t>use</w:t>
      </w:r>
      <w:r w:rsidR="007854AB" w:rsidRPr="00A46779">
        <w:rPr>
          <w:spacing w:val="-2"/>
        </w:rPr>
        <w:t xml:space="preserve"> o</w:t>
      </w:r>
      <w:r w:rsidR="007854AB" w:rsidRPr="00A46779">
        <w:t>f</w:t>
      </w:r>
      <w:r w:rsidR="007854AB" w:rsidRPr="00A46779">
        <w:rPr>
          <w:spacing w:val="3"/>
        </w:rPr>
        <w:t xml:space="preserve"> </w:t>
      </w:r>
      <w:r w:rsidR="007854AB" w:rsidRPr="00A46779">
        <w:rPr>
          <w:spacing w:val="-3"/>
        </w:rPr>
        <w:t>s</w:t>
      </w:r>
      <w:r w:rsidR="007854AB" w:rsidRPr="00A46779">
        <w:t>po</w:t>
      </w:r>
      <w:r w:rsidR="007854AB" w:rsidRPr="00A46779">
        <w:rPr>
          <w:spacing w:val="-1"/>
        </w:rPr>
        <w:t>r</w:t>
      </w:r>
      <w:r w:rsidR="007854AB" w:rsidRPr="00A46779">
        <w:t>t</w:t>
      </w:r>
      <w:r w:rsidR="007854AB" w:rsidRPr="00A46779">
        <w:rPr>
          <w:spacing w:val="-1"/>
        </w:rPr>
        <w:t>i</w:t>
      </w:r>
      <w:r w:rsidR="007854AB" w:rsidRPr="00A46779">
        <w:t>ng</w:t>
      </w:r>
      <w:r w:rsidR="007854AB" w:rsidRPr="00A46779">
        <w:rPr>
          <w:spacing w:val="-1"/>
        </w:rPr>
        <w:t xml:space="preserve"> </w:t>
      </w:r>
      <w:r w:rsidR="007854AB" w:rsidRPr="00A46779">
        <w:rPr>
          <w:spacing w:val="-2"/>
        </w:rPr>
        <w:t>g</w:t>
      </w:r>
      <w:r w:rsidR="007854AB" w:rsidRPr="00A46779">
        <w:rPr>
          <w:spacing w:val="-1"/>
        </w:rPr>
        <w:t>r</w:t>
      </w:r>
      <w:r w:rsidR="007854AB" w:rsidRPr="00A46779">
        <w:t>ounds</w:t>
      </w:r>
      <w:r w:rsidR="007854AB" w:rsidRPr="00A46779">
        <w:rPr>
          <w:spacing w:val="-2"/>
        </w:rPr>
        <w:t xml:space="preserve"> </w:t>
      </w:r>
      <w:r w:rsidR="007854AB" w:rsidRPr="00A46779">
        <w:t>and</w:t>
      </w:r>
      <w:r w:rsidR="007854AB" w:rsidRPr="00A46779">
        <w:rPr>
          <w:spacing w:val="-1"/>
        </w:rPr>
        <w:t xml:space="preserve"> </w:t>
      </w:r>
      <w:r w:rsidR="007854AB" w:rsidRPr="00A46779">
        <w:t>pa</w:t>
      </w:r>
      <w:r w:rsidR="007854AB" w:rsidRPr="00A46779">
        <w:rPr>
          <w:spacing w:val="-3"/>
        </w:rPr>
        <w:t>v</w:t>
      </w:r>
      <w:r w:rsidR="007854AB" w:rsidRPr="00A46779">
        <w:rPr>
          <w:spacing w:val="-1"/>
        </w:rPr>
        <w:t>ili</w:t>
      </w:r>
      <w:r w:rsidR="007854AB" w:rsidRPr="00A46779">
        <w:t>ons to</w:t>
      </w:r>
      <w:r w:rsidR="007854AB" w:rsidRPr="00A46779">
        <w:rPr>
          <w:spacing w:val="-1"/>
        </w:rPr>
        <w:t xml:space="preserve"> </w:t>
      </w:r>
      <w:r w:rsidR="007854AB" w:rsidRPr="00A46779">
        <w:rPr>
          <w:spacing w:val="-3"/>
        </w:rPr>
        <w:t>c</w:t>
      </w:r>
      <w:r w:rsidR="007854AB" w:rsidRPr="00A46779">
        <w:rPr>
          <w:spacing w:val="-1"/>
        </w:rPr>
        <w:t>l</w:t>
      </w:r>
      <w:r w:rsidR="007854AB" w:rsidRPr="00A46779">
        <w:t xml:space="preserve">ubs </w:t>
      </w:r>
      <w:r w:rsidR="007854AB" w:rsidRPr="00A46779">
        <w:rPr>
          <w:spacing w:val="-3"/>
        </w:rPr>
        <w:t>w</w:t>
      </w:r>
      <w:r w:rsidR="007854AB" w:rsidRPr="00A46779">
        <w:t>h</w:t>
      </w:r>
      <w:r w:rsidR="007854AB" w:rsidRPr="00A46779">
        <w:rPr>
          <w:spacing w:val="-1"/>
        </w:rPr>
        <w:t>i</w:t>
      </w:r>
      <w:r w:rsidR="007854AB" w:rsidRPr="00A46779">
        <w:t>ch a</w:t>
      </w:r>
      <w:r w:rsidR="007854AB" w:rsidRPr="00A46779">
        <w:rPr>
          <w:spacing w:val="-1"/>
        </w:rPr>
        <w:t>r</w:t>
      </w:r>
      <w:r w:rsidR="007854AB" w:rsidRPr="00A46779">
        <w:t>e</w:t>
      </w:r>
      <w:r w:rsidR="007854AB" w:rsidRPr="00A46779">
        <w:rPr>
          <w:spacing w:val="1"/>
        </w:rPr>
        <w:t xml:space="preserve"> </w:t>
      </w:r>
      <w:r w:rsidR="007854AB" w:rsidRPr="00A46779">
        <w:rPr>
          <w:spacing w:val="-1"/>
        </w:rPr>
        <w:t>i</w:t>
      </w:r>
      <w:r w:rsidR="007854AB" w:rsidRPr="00A46779">
        <w:t>nc</w:t>
      </w:r>
      <w:r w:rsidR="007854AB" w:rsidRPr="00A46779">
        <w:rPr>
          <w:spacing w:val="-2"/>
        </w:rPr>
        <w:t>l</w:t>
      </w:r>
      <w:r w:rsidR="007854AB" w:rsidRPr="00A46779">
        <w:t>us</w:t>
      </w:r>
      <w:r w:rsidR="007854AB" w:rsidRPr="00A46779">
        <w:rPr>
          <w:spacing w:val="-2"/>
        </w:rPr>
        <w:t>i</w:t>
      </w:r>
      <w:r w:rsidR="007854AB" w:rsidRPr="00A46779">
        <w:rPr>
          <w:spacing w:val="-3"/>
        </w:rPr>
        <w:t>v</w:t>
      </w:r>
      <w:r w:rsidR="007854AB" w:rsidRPr="00A46779">
        <w:t>e</w:t>
      </w:r>
      <w:r w:rsidR="007854AB" w:rsidRPr="00A46779">
        <w:rPr>
          <w:spacing w:val="1"/>
        </w:rPr>
        <w:t xml:space="preserve"> of females, </w:t>
      </w:r>
      <w:r w:rsidR="007854AB" w:rsidRPr="00A46779">
        <w:t>ac</w:t>
      </w:r>
      <w:r w:rsidR="007854AB" w:rsidRPr="00A46779">
        <w:rPr>
          <w:spacing w:val="-1"/>
        </w:rPr>
        <w:t>ti</w:t>
      </w:r>
      <w:r w:rsidR="007854AB" w:rsidRPr="00A46779">
        <w:rPr>
          <w:spacing w:val="-3"/>
        </w:rPr>
        <w:t>v</w:t>
      </w:r>
      <w:r w:rsidR="007854AB" w:rsidRPr="00A46779">
        <w:t>e</w:t>
      </w:r>
      <w:r w:rsidR="007854AB" w:rsidRPr="00A46779">
        <w:rPr>
          <w:spacing w:val="-1"/>
        </w:rPr>
        <w:t>l</w:t>
      </w:r>
      <w:r w:rsidR="007854AB" w:rsidRPr="00A46779">
        <w:t>y</w:t>
      </w:r>
      <w:r w:rsidR="007854AB" w:rsidRPr="00A46779">
        <w:rPr>
          <w:spacing w:val="-2"/>
        </w:rPr>
        <w:t xml:space="preserve"> </w:t>
      </w:r>
      <w:r w:rsidR="007854AB" w:rsidRPr="00A46779">
        <w:t>suppo</w:t>
      </w:r>
      <w:r w:rsidR="007854AB" w:rsidRPr="00A46779">
        <w:rPr>
          <w:spacing w:val="-1"/>
        </w:rPr>
        <w:t>r</w:t>
      </w:r>
      <w:r w:rsidR="007854AB" w:rsidRPr="00A46779">
        <w:t xml:space="preserve">t </w:t>
      </w:r>
      <w:r w:rsidR="007854AB" w:rsidRPr="00A46779">
        <w:rPr>
          <w:spacing w:val="-1"/>
        </w:rPr>
        <w:t>j</w:t>
      </w:r>
      <w:r w:rsidR="007854AB" w:rsidRPr="00A46779">
        <w:rPr>
          <w:spacing w:val="-2"/>
        </w:rPr>
        <w:t>u</w:t>
      </w:r>
      <w:r w:rsidR="007854AB" w:rsidRPr="00A46779">
        <w:t>n</w:t>
      </w:r>
      <w:r w:rsidR="007854AB" w:rsidRPr="00A46779">
        <w:rPr>
          <w:spacing w:val="-1"/>
        </w:rPr>
        <w:t>i</w:t>
      </w:r>
      <w:r w:rsidR="007854AB" w:rsidRPr="00A46779">
        <w:t>o</w:t>
      </w:r>
      <w:r w:rsidR="007854AB" w:rsidRPr="00A46779">
        <w:rPr>
          <w:spacing w:val="-1"/>
        </w:rPr>
        <w:t>r</w:t>
      </w:r>
      <w:r w:rsidR="007854AB" w:rsidRPr="00A46779">
        <w:t>s, pe</w:t>
      </w:r>
      <w:r w:rsidR="007854AB" w:rsidRPr="00A46779">
        <w:rPr>
          <w:spacing w:val="-2"/>
        </w:rPr>
        <w:t>o</w:t>
      </w:r>
      <w:r w:rsidR="007854AB" w:rsidRPr="00A46779">
        <w:t>p</w:t>
      </w:r>
      <w:r w:rsidR="007854AB" w:rsidRPr="00A46779">
        <w:rPr>
          <w:spacing w:val="-1"/>
        </w:rPr>
        <w:t>l</w:t>
      </w:r>
      <w:r w:rsidR="007854AB" w:rsidRPr="00A46779">
        <w:t>e</w:t>
      </w:r>
      <w:r w:rsidR="007854AB" w:rsidRPr="00A46779">
        <w:rPr>
          <w:spacing w:val="1"/>
        </w:rPr>
        <w:t xml:space="preserve"> </w:t>
      </w:r>
      <w:r w:rsidR="007854AB" w:rsidRPr="00A46779">
        <w:rPr>
          <w:spacing w:val="-3"/>
        </w:rPr>
        <w:t>w</w:t>
      </w:r>
      <w:r w:rsidR="007854AB" w:rsidRPr="00A46779">
        <w:rPr>
          <w:spacing w:val="-1"/>
        </w:rPr>
        <w:t>i</w:t>
      </w:r>
      <w:r w:rsidR="007854AB" w:rsidRPr="00A46779">
        <w:t>th</w:t>
      </w:r>
      <w:r w:rsidR="007854AB" w:rsidRPr="00A46779">
        <w:rPr>
          <w:spacing w:val="1"/>
        </w:rPr>
        <w:t xml:space="preserve"> </w:t>
      </w:r>
      <w:r w:rsidR="007854AB" w:rsidRPr="00A46779">
        <w:t>d</w:t>
      </w:r>
      <w:r w:rsidR="007854AB" w:rsidRPr="00A46779">
        <w:rPr>
          <w:spacing w:val="-1"/>
        </w:rPr>
        <w:t>i</w:t>
      </w:r>
      <w:r w:rsidR="007854AB" w:rsidRPr="00A46779">
        <w:t>sab</w:t>
      </w:r>
      <w:r w:rsidR="007854AB" w:rsidRPr="00A46779">
        <w:rPr>
          <w:spacing w:val="-1"/>
        </w:rPr>
        <w:t>ili</w:t>
      </w:r>
      <w:r w:rsidR="007854AB" w:rsidRPr="00A46779">
        <w:t>t</w:t>
      </w:r>
      <w:r w:rsidR="007854AB" w:rsidRPr="00A46779">
        <w:rPr>
          <w:spacing w:val="-1"/>
        </w:rPr>
        <w:t>i</w:t>
      </w:r>
      <w:r w:rsidR="007854AB" w:rsidRPr="00A46779">
        <w:t>es</w:t>
      </w:r>
      <w:r w:rsidR="007854AB" w:rsidRPr="00A46779">
        <w:rPr>
          <w:spacing w:val="-2"/>
        </w:rPr>
        <w:t xml:space="preserve"> </w:t>
      </w:r>
      <w:r w:rsidR="007854AB" w:rsidRPr="00A46779">
        <w:t>and</w:t>
      </w:r>
      <w:r w:rsidR="007854AB" w:rsidRPr="00A46779">
        <w:rPr>
          <w:spacing w:val="-1"/>
        </w:rPr>
        <w:t xml:space="preserve"> </w:t>
      </w:r>
      <w:r w:rsidR="007854AB" w:rsidRPr="00A46779">
        <w:t>p</w:t>
      </w:r>
      <w:r w:rsidR="007854AB" w:rsidRPr="00A46779">
        <w:rPr>
          <w:spacing w:val="-2"/>
        </w:rPr>
        <w:t>e</w:t>
      </w:r>
      <w:r w:rsidR="007854AB" w:rsidRPr="00A46779">
        <w:t>op</w:t>
      </w:r>
      <w:r w:rsidR="007854AB" w:rsidRPr="00A46779">
        <w:rPr>
          <w:spacing w:val="-1"/>
        </w:rPr>
        <w:t>l</w:t>
      </w:r>
      <w:r w:rsidR="007854AB" w:rsidRPr="00A46779">
        <w:t>e</w:t>
      </w:r>
      <w:r w:rsidR="007854AB" w:rsidRPr="00A46779">
        <w:rPr>
          <w:spacing w:val="-4"/>
        </w:rPr>
        <w:t xml:space="preserve"> </w:t>
      </w:r>
      <w:r w:rsidR="007854AB" w:rsidRPr="00A46779">
        <w:rPr>
          <w:spacing w:val="2"/>
        </w:rPr>
        <w:t>f</w:t>
      </w:r>
      <w:r w:rsidR="007854AB" w:rsidRPr="00A46779">
        <w:rPr>
          <w:spacing w:val="-1"/>
        </w:rPr>
        <w:t>r</w:t>
      </w:r>
      <w:r w:rsidR="007854AB" w:rsidRPr="00A46779">
        <w:t>om</w:t>
      </w:r>
      <w:r w:rsidR="007854AB" w:rsidRPr="00A46779">
        <w:rPr>
          <w:spacing w:val="2"/>
        </w:rPr>
        <w:t xml:space="preserve"> </w:t>
      </w:r>
      <w:r w:rsidR="007854AB" w:rsidRPr="00A46779">
        <w:rPr>
          <w:spacing w:val="-3"/>
        </w:rPr>
        <w:t>c</w:t>
      </w:r>
      <w:r w:rsidR="007854AB" w:rsidRPr="00A46779">
        <w:t>u</w:t>
      </w:r>
      <w:r w:rsidR="007854AB" w:rsidRPr="00A46779">
        <w:rPr>
          <w:spacing w:val="-1"/>
        </w:rPr>
        <w:t>l</w:t>
      </w:r>
      <w:r w:rsidR="007854AB" w:rsidRPr="00A46779">
        <w:t>tu</w:t>
      </w:r>
      <w:r w:rsidR="007854AB" w:rsidRPr="00A46779">
        <w:rPr>
          <w:spacing w:val="-1"/>
        </w:rPr>
        <w:t>r</w:t>
      </w:r>
      <w:r w:rsidR="007854AB" w:rsidRPr="00A46779">
        <w:t>a</w:t>
      </w:r>
      <w:r w:rsidR="007854AB" w:rsidRPr="00A46779">
        <w:rPr>
          <w:spacing w:val="-1"/>
        </w:rPr>
        <w:t>ll</w:t>
      </w:r>
      <w:r w:rsidR="007854AB" w:rsidRPr="00A46779">
        <w:t>y</w:t>
      </w:r>
      <w:r w:rsidR="007854AB" w:rsidRPr="00A46779">
        <w:rPr>
          <w:spacing w:val="-2"/>
        </w:rPr>
        <w:t xml:space="preserve"> </w:t>
      </w:r>
      <w:r w:rsidR="007854AB" w:rsidRPr="00A46779">
        <w:t>and</w:t>
      </w:r>
      <w:r w:rsidR="007854AB" w:rsidRPr="00A46779">
        <w:rPr>
          <w:spacing w:val="1"/>
        </w:rPr>
        <w:t xml:space="preserve"> </w:t>
      </w:r>
      <w:r w:rsidR="007854AB" w:rsidRPr="00A46779">
        <w:rPr>
          <w:spacing w:val="-1"/>
        </w:rPr>
        <w:t>li</w:t>
      </w:r>
      <w:r w:rsidR="007854AB" w:rsidRPr="00A46779">
        <w:t>n</w:t>
      </w:r>
      <w:r w:rsidR="007854AB" w:rsidRPr="00A46779">
        <w:rPr>
          <w:spacing w:val="-2"/>
        </w:rPr>
        <w:t>g</w:t>
      </w:r>
      <w:r w:rsidR="007854AB" w:rsidRPr="00A46779">
        <w:t>u</w:t>
      </w:r>
      <w:r w:rsidR="007854AB" w:rsidRPr="00A46779">
        <w:rPr>
          <w:spacing w:val="-3"/>
        </w:rPr>
        <w:t>i</w:t>
      </w:r>
      <w:r w:rsidR="007854AB" w:rsidRPr="00A46779">
        <w:t>s</w:t>
      </w:r>
      <w:r w:rsidR="007854AB" w:rsidRPr="00A46779">
        <w:rPr>
          <w:spacing w:val="-1"/>
        </w:rPr>
        <w:t>ti</w:t>
      </w:r>
      <w:r w:rsidR="007854AB" w:rsidRPr="00A46779">
        <w:t>ca</w:t>
      </w:r>
      <w:r w:rsidR="007854AB" w:rsidRPr="00A46779">
        <w:rPr>
          <w:spacing w:val="-1"/>
        </w:rPr>
        <w:t>ll</w:t>
      </w:r>
      <w:r w:rsidR="007854AB" w:rsidRPr="00A46779">
        <w:t>y</w:t>
      </w:r>
      <w:r w:rsidR="007854AB" w:rsidRPr="00A46779">
        <w:rPr>
          <w:spacing w:val="-2"/>
        </w:rPr>
        <w:t xml:space="preserve"> </w:t>
      </w:r>
      <w:r w:rsidR="007854AB" w:rsidRPr="00A46779">
        <w:t>d</w:t>
      </w:r>
      <w:r w:rsidR="007854AB" w:rsidRPr="00A46779">
        <w:rPr>
          <w:spacing w:val="1"/>
        </w:rPr>
        <w:t>i</w:t>
      </w:r>
      <w:r w:rsidR="007854AB" w:rsidRPr="00A46779">
        <w:rPr>
          <w:spacing w:val="-3"/>
        </w:rPr>
        <w:t>v</w:t>
      </w:r>
      <w:r w:rsidR="007854AB" w:rsidRPr="00A46779">
        <w:t>e</w:t>
      </w:r>
      <w:r w:rsidR="007854AB" w:rsidRPr="00A46779">
        <w:rPr>
          <w:spacing w:val="-1"/>
        </w:rPr>
        <w:t>r</w:t>
      </w:r>
      <w:r w:rsidR="007854AB" w:rsidRPr="00A46779">
        <w:t>se back</w:t>
      </w:r>
      <w:r w:rsidR="007854AB" w:rsidRPr="00A46779">
        <w:rPr>
          <w:spacing w:val="-4"/>
        </w:rPr>
        <w:t>g</w:t>
      </w:r>
      <w:r w:rsidR="007854AB" w:rsidRPr="00A46779">
        <w:rPr>
          <w:spacing w:val="-1"/>
        </w:rPr>
        <w:t>r</w:t>
      </w:r>
      <w:r w:rsidR="007854AB" w:rsidRPr="00A46779">
        <w:t>ou</w:t>
      </w:r>
      <w:r w:rsidR="007854AB" w:rsidRPr="00A46779">
        <w:rPr>
          <w:spacing w:val="-2"/>
        </w:rPr>
        <w:t>n</w:t>
      </w:r>
      <w:r w:rsidR="007854AB" w:rsidRPr="00A46779">
        <w:t xml:space="preserve">ds </w:t>
      </w:r>
      <w:r w:rsidR="007854AB" w:rsidRPr="00A46779">
        <w:rPr>
          <w:spacing w:val="-1"/>
        </w:rPr>
        <w:t>(C</w:t>
      </w:r>
      <w:r w:rsidR="007854AB" w:rsidRPr="00A46779">
        <w:t>AL</w:t>
      </w:r>
      <w:r w:rsidR="007854AB" w:rsidRPr="00A46779">
        <w:rPr>
          <w:spacing w:val="-1"/>
        </w:rPr>
        <w:t>D</w:t>
      </w:r>
      <w:r w:rsidR="007854AB" w:rsidRPr="00A46779">
        <w:t>)</w:t>
      </w:r>
      <w:r w:rsidR="007854AB" w:rsidRPr="00A46779">
        <w:rPr>
          <w:spacing w:val="-1"/>
        </w:rPr>
        <w:t xml:space="preserve"> </w:t>
      </w:r>
      <w:r w:rsidR="007854AB" w:rsidRPr="00A46779">
        <w:t>to</w:t>
      </w:r>
      <w:r w:rsidR="007854AB" w:rsidRPr="00A46779">
        <w:rPr>
          <w:spacing w:val="1"/>
        </w:rPr>
        <w:t xml:space="preserve"> </w:t>
      </w:r>
      <w:r w:rsidR="007854AB" w:rsidRPr="00A46779">
        <w:t>pa</w:t>
      </w:r>
      <w:r w:rsidR="007854AB" w:rsidRPr="00A46779">
        <w:rPr>
          <w:spacing w:val="-1"/>
        </w:rPr>
        <w:t>r</w:t>
      </w:r>
      <w:r w:rsidR="007854AB" w:rsidRPr="00A46779">
        <w:t>t</w:t>
      </w:r>
      <w:r w:rsidR="007854AB" w:rsidRPr="00A46779">
        <w:rPr>
          <w:spacing w:val="-1"/>
        </w:rPr>
        <w:t>i</w:t>
      </w:r>
      <w:r w:rsidR="007854AB" w:rsidRPr="00A46779">
        <w:t>c</w:t>
      </w:r>
      <w:r w:rsidR="007854AB" w:rsidRPr="00A46779">
        <w:rPr>
          <w:spacing w:val="-2"/>
        </w:rPr>
        <w:t>ip</w:t>
      </w:r>
      <w:r w:rsidR="007854AB" w:rsidRPr="00A46779">
        <w:t>ate</w:t>
      </w:r>
      <w:r w:rsidR="007854AB" w:rsidRPr="00A46779">
        <w:rPr>
          <w:spacing w:val="1"/>
        </w:rPr>
        <w:t xml:space="preserve"> </w:t>
      </w:r>
      <w:r w:rsidR="007854AB" w:rsidRPr="00A46779">
        <w:rPr>
          <w:spacing w:val="-3"/>
        </w:rPr>
        <w:t>i</w:t>
      </w:r>
      <w:r w:rsidR="007854AB" w:rsidRPr="00A46779">
        <w:t>n</w:t>
      </w:r>
      <w:r w:rsidR="007854AB" w:rsidRPr="00A46779">
        <w:rPr>
          <w:spacing w:val="1"/>
        </w:rPr>
        <w:t xml:space="preserve"> </w:t>
      </w:r>
      <w:r w:rsidR="007854AB" w:rsidRPr="00A46779">
        <w:t>spo</w:t>
      </w:r>
      <w:r w:rsidR="007854AB" w:rsidRPr="00A46779">
        <w:rPr>
          <w:spacing w:val="-1"/>
        </w:rPr>
        <w:t>r</w:t>
      </w:r>
      <w:r w:rsidR="007854AB" w:rsidRPr="00A46779">
        <w:t>t</w:t>
      </w:r>
      <w:r w:rsidR="007854AB" w:rsidRPr="00A46779">
        <w:rPr>
          <w:spacing w:val="-2"/>
        </w:rPr>
        <w:t xml:space="preserve"> </w:t>
      </w:r>
      <w:r w:rsidR="007854AB" w:rsidRPr="00A46779">
        <w:t>a</w:t>
      </w:r>
      <w:r w:rsidR="007854AB" w:rsidRPr="00A46779">
        <w:rPr>
          <w:spacing w:val="-2"/>
        </w:rPr>
        <w:t>n</w:t>
      </w:r>
      <w:r w:rsidR="007854AB" w:rsidRPr="00A46779">
        <w:t>d</w:t>
      </w:r>
      <w:r w:rsidR="007854AB" w:rsidRPr="00A46779">
        <w:rPr>
          <w:spacing w:val="1"/>
        </w:rPr>
        <w:t xml:space="preserve"> </w:t>
      </w:r>
      <w:r w:rsidR="007854AB" w:rsidRPr="00A46779">
        <w:rPr>
          <w:spacing w:val="-1"/>
        </w:rPr>
        <w:t>r</w:t>
      </w:r>
      <w:r w:rsidR="007854AB" w:rsidRPr="00A46779">
        <w:t>ec</w:t>
      </w:r>
      <w:r w:rsidR="007854AB" w:rsidRPr="00A46779">
        <w:rPr>
          <w:spacing w:val="-2"/>
        </w:rPr>
        <w:t>r</w:t>
      </w:r>
      <w:r w:rsidR="007854AB" w:rsidRPr="00A46779">
        <w:t>e</w:t>
      </w:r>
      <w:r w:rsidR="007854AB" w:rsidRPr="00A46779">
        <w:rPr>
          <w:spacing w:val="-2"/>
        </w:rPr>
        <w:t>a</w:t>
      </w:r>
      <w:r w:rsidR="007854AB" w:rsidRPr="00A46779">
        <w:t>t</w:t>
      </w:r>
      <w:r w:rsidR="007854AB" w:rsidRPr="00A46779">
        <w:rPr>
          <w:spacing w:val="-1"/>
        </w:rPr>
        <w:t>i</w:t>
      </w:r>
      <w:r w:rsidR="007854AB" w:rsidRPr="00A46779">
        <w:t>on</w:t>
      </w:r>
      <w:r>
        <w:t>;</w:t>
      </w:r>
    </w:p>
    <w:p w14:paraId="15F5D30D" w14:textId="77777777" w:rsidR="007854AB" w:rsidRPr="00A46779" w:rsidRDefault="00F80543" w:rsidP="00750AA5">
      <w:pPr>
        <w:pStyle w:val="PolicyBulletPoint"/>
      </w:pPr>
      <w:r>
        <w:t>E</w:t>
      </w:r>
      <w:r w:rsidR="007854AB" w:rsidRPr="00A46779">
        <w:t>nsure sporting facilities, grounds and pavilions are allocated to clubs with sound governance structures, open membership, elected committees and a demonstrated commitment to social responsibility</w:t>
      </w:r>
      <w:r>
        <w:t>;</w:t>
      </w:r>
    </w:p>
    <w:p w14:paraId="12AE5598" w14:textId="77777777" w:rsidR="007854AB" w:rsidRPr="00A46779" w:rsidRDefault="00F80543" w:rsidP="00750AA5">
      <w:pPr>
        <w:pStyle w:val="PolicyBulletPoint"/>
      </w:pPr>
      <w:r>
        <w:t>E</w:t>
      </w:r>
      <w:r w:rsidR="007854AB" w:rsidRPr="00A46779">
        <w:t>nable Council to add</w:t>
      </w:r>
      <w:r>
        <w:t>ress the needs of growth sports;</w:t>
      </w:r>
      <w:r w:rsidR="007854AB" w:rsidRPr="00A46779">
        <w:t xml:space="preserve"> and</w:t>
      </w:r>
    </w:p>
    <w:p w14:paraId="451660B7" w14:textId="77777777" w:rsidR="007854AB" w:rsidRPr="00A46779" w:rsidRDefault="00F80543" w:rsidP="00750AA5">
      <w:pPr>
        <w:pStyle w:val="PolicyBulletPoint"/>
      </w:pPr>
      <w:r>
        <w:t>I</w:t>
      </w:r>
      <w:r w:rsidR="007854AB" w:rsidRPr="00A46779">
        <w:t>ncrease the number of participants, members, coaches, officials, spectators and volunteers by reaching new audiences.</w:t>
      </w:r>
    </w:p>
    <w:p w14:paraId="068924AD" w14:textId="77777777" w:rsidR="007854AB" w:rsidRPr="007A3755" w:rsidRDefault="007854AB" w:rsidP="00750AA5">
      <w:pPr>
        <w:pStyle w:val="Policybodytext"/>
      </w:pPr>
      <w:r w:rsidRPr="007A3755">
        <w:t xml:space="preserve">This Policy covers both the lease and allocation of Council Sporting Facilities, Grounds and Pavilions. </w:t>
      </w:r>
    </w:p>
    <w:p w14:paraId="5650AC4E" w14:textId="77777777" w:rsidR="00244C5A" w:rsidRDefault="00730087" w:rsidP="000D47EC">
      <w:pPr>
        <w:pStyle w:val="PolicyHeading1"/>
      </w:pPr>
      <w:bookmarkStart w:id="2" w:name="_Toc336507812"/>
      <w:bookmarkStart w:id="3" w:name="_Toc338250691"/>
      <w:r w:rsidRPr="000D47EC">
        <w:t>CONTEXT</w:t>
      </w:r>
      <w:bookmarkEnd w:id="2"/>
      <w:bookmarkEnd w:id="3"/>
    </w:p>
    <w:p w14:paraId="6FEF13A9" w14:textId="31138F2F" w:rsidR="00AB3236" w:rsidRPr="007A3755" w:rsidRDefault="00AB3236" w:rsidP="00750AA5">
      <w:pPr>
        <w:pStyle w:val="Policybodytext"/>
      </w:pPr>
      <w:r w:rsidRPr="007A3755">
        <w:t>M</w:t>
      </w:r>
      <w:r w:rsidR="004373CF">
        <w:t>erri-bek</w:t>
      </w:r>
      <w:r w:rsidRPr="007A3755">
        <w:t xml:space="preserve"> City Council has a strong commitment to providing its diverse community with broad range of sporting and recreational opportunities. Council provides a wide range of sporting facilities and opportunities for its residents and visitors to the municipality.</w:t>
      </w:r>
    </w:p>
    <w:p w14:paraId="41D226BE" w14:textId="53818A78" w:rsidR="00AB3236" w:rsidRPr="007A3755" w:rsidRDefault="00AB3236" w:rsidP="00750AA5">
      <w:pPr>
        <w:pStyle w:val="Policybodytext"/>
      </w:pPr>
      <w:r w:rsidRPr="007A3755">
        <w:t xml:space="preserve">The implementation of this policy is necessary to address inequity, continue to address discrimination, meet legislative requirements, promote community cohesion and encourage the provision of equitable access to services for all sectors of the </w:t>
      </w:r>
      <w:r w:rsidR="004373CF" w:rsidRPr="007A3755">
        <w:t>M</w:t>
      </w:r>
      <w:r w:rsidR="004373CF">
        <w:t>erri-bek</w:t>
      </w:r>
      <w:r w:rsidR="004373CF" w:rsidRPr="007A3755">
        <w:t xml:space="preserve"> </w:t>
      </w:r>
      <w:r w:rsidRPr="007A3755">
        <w:t>community. The policy also ensures that both the culture and structure of sports are addressed and challenged to improve accessibility and to provide all individuals with equality of opportunity and choice.</w:t>
      </w:r>
    </w:p>
    <w:p w14:paraId="362513AD" w14:textId="34691945" w:rsidR="00AB3236" w:rsidRPr="007A3755" w:rsidRDefault="00AB3236" w:rsidP="00750AA5">
      <w:pPr>
        <w:pStyle w:val="Policybodytext"/>
      </w:pPr>
      <w:r w:rsidRPr="007A3755">
        <w:t xml:space="preserve">It cannot be assumed that any sport is open and accessible to all members of the community. </w:t>
      </w:r>
      <w:r w:rsidR="004373CF" w:rsidRPr="007A3755">
        <w:t>M</w:t>
      </w:r>
      <w:r w:rsidR="004373CF">
        <w:t>erri-bek</w:t>
      </w:r>
      <w:r w:rsidRPr="007A3755">
        <w:t xml:space="preserve"> City Council through previous and ongoing studies recognise four key priority groups within the sporting community who have traditionally participated less either as players, coaches, officials or volunteers:</w:t>
      </w:r>
    </w:p>
    <w:p w14:paraId="4770A6B8" w14:textId="77777777" w:rsidR="00AB3236" w:rsidRPr="002A15A9" w:rsidRDefault="00AB3236" w:rsidP="00750AA5">
      <w:pPr>
        <w:pStyle w:val="PolicyBulletPoint"/>
        <w:rPr>
          <w:rFonts w:eastAsia="Arial"/>
        </w:rPr>
      </w:pPr>
      <w:r w:rsidRPr="002A15A9">
        <w:rPr>
          <w:rFonts w:eastAsia="Arial"/>
        </w:rPr>
        <w:t>Junior/youth sport</w:t>
      </w:r>
    </w:p>
    <w:p w14:paraId="47B8B6A3" w14:textId="77777777" w:rsidR="00AB3236" w:rsidRPr="002A15A9" w:rsidRDefault="00AB3236" w:rsidP="00750AA5">
      <w:pPr>
        <w:pStyle w:val="PolicyBulletPoint"/>
        <w:rPr>
          <w:rFonts w:eastAsia="Arial"/>
        </w:rPr>
      </w:pPr>
      <w:r w:rsidRPr="002A15A9">
        <w:rPr>
          <w:rFonts w:eastAsia="Arial"/>
        </w:rPr>
        <w:t>Women's and girls sport</w:t>
      </w:r>
    </w:p>
    <w:p w14:paraId="1443643C" w14:textId="77777777" w:rsidR="00AB3236" w:rsidRPr="002A15A9" w:rsidRDefault="00AB3236" w:rsidP="00750AA5">
      <w:pPr>
        <w:pStyle w:val="PolicyBulletPoint"/>
        <w:rPr>
          <w:rFonts w:eastAsia="Arial"/>
        </w:rPr>
      </w:pPr>
      <w:r w:rsidRPr="002A15A9">
        <w:rPr>
          <w:rFonts w:eastAsia="Arial"/>
        </w:rPr>
        <w:t>People with disabilities</w:t>
      </w:r>
    </w:p>
    <w:p w14:paraId="7868FD2D" w14:textId="77777777" w:rsidR="00AB3236" w:rsidRPr="002A15A9" w:rsidRDefault="00AB3236" w:rsidP="00750AA5">
      <w:pPr>
        <w:pStyle w:val="PolicyBulletPoint"/>
        <w:rPr>
          <w:rFonts w:eastAsia="Arial"/>
        </w:rPr>
      </w:pPr>
      <w:r w:rsidRPr="002A15A9">
        <w:rPr>
          <w:rFonts w:eastAsia="Arial"/>
        </w:rPr>
        <w:t>People from CALD backgrounds</w:t>
      </w:r>
    </w:p>
    <w:p w14:paraId="6EC5AE11" w14:textId="0F924F50" w:rsidR="00AB3236" w:rsidRPr="007A3755" w:rsidRDefault="00AB3236" w:rsidP="00750AA5">
      <w:pPr>
        <w:pStyle w:val="Policybodytext"/>
      </w:pPr>
      <w:r w:rsidRPr="007A3755">
        <w:t>It is intended that this policy will have wide implications for local communities, and will impact upon anyone providing sporting opportunities in the City of</w:t>
      </w:r>
      <w:r w:rsidR="004373CF" w:rsidRPr="004373CF">
        <w:t xml:space="preserve"> </w:t>
      </w:r>
      <w:r w:rsidR="004373CF" w:rsidRPr="007A3755">
        <w:t>M</w:t>
      </w:r>
      <w:r w:rsidR="004373CF">
        <w:t>erri-bek</w:t>
      </w:r>
      <w:r w:rsidRPr="007A3755">
        <w:t>, including voluntary and commercial</w:t>
      </w:r>
      <w:r w:rsidR="007A3755">
        <w:t xml:space="preserve"> organisations and individuals.</w:t>
      </w:r>
    </w:p>
    <w:p w14:paraId="30B3B2CB" w14:textId="77777777" w:rsidR="00506F47" w:rsidRPr="000D47EC" w:rsidRDefault="00506F47" w:rsidP="006E7734">
      <w:pPr>
        <w:pStyle w:val="PolicyHeading2"/>
      </w:pPr>
      <w:r w:rsidRPr="000D47EC">
        <w:lastRenderedPageBreak/>
        <w:t>Alignment</w:t>
      </w:r>
    </w:p>
    <w:p w14:paraId="78DEEFE2" w14:textId="77777777" w:rsidR="00AB3236" w:rsidRPr="007A3755" w:rsidRDefault="00AB3236" w:rsidP="006E7734">
      <w:pPr>
        <w:pStyle w:val="Policybodytext"/>
        <w:keepNext/>
      </w:pPr>
      <w:r w:rsidRPr="007A3755">
        <w:t>This policy has been informed and links to:</w:t>
      </w:r>
    </w:p>
    <w:p w14:paraId="1BA59EA6" w14:textId="230635AB" w:rsidR="00AB3236" w:rsidRDefault="004373CF" w:rsidP="006E7734">
      <w:pPr>
        <w:pStyle w:val="PolicyBulletPoint"/>
        <w:keepNext/>
      </w:pPr>
      <w:r w:rsidRPr="007A3755">
        <w:t>M</w:t>
      </w:r>
      <w:r>
        <w:t>erri-bek</w:t>
      </w:r>
      <w:r w:rsidR="00AB3236" w:rsidRPr="000B5F8C">
        <w:t xml:space="preserve"> Sport and Physical Activity Strategy 2014-2018</w:t>
      </w:r>
    </w:p>
    <w:p w14:paraId="3BC40F5C" w14:textId="4D8FA7A2" w:rsidR="003A27FA" w:rsidRPr="000B5F8C" w:rsidRDefault="004373CF" w:rsidP="006E7734">
      <w:pPr>
        <w:pStyle w:val="PolicyBulletPoint"/>
        <w:keepNext/>
      </w:pPr>
      <w:r w:rsidRPr="007A3755">
        <w:t>M</w:t>
      </w:r>
      <w:r>
        <w:t>erri-bek</w:t>
      </w:r>
      <w:r w:rsidR="003A27FA">
        <w:t xml:space="preserve"> </w:t>
      </w:r>
      <w:r w:rsidR="003A27FA" w:rsidRPr="000B5F8C">
        <w:t>Ac</w:t>
      </w:r>
      <w:r w:rsidR="003A27FA" w:rsidRPr="000B5F8C">
        <w:rPr>
          <w:spacing w:val="-1"/>
        </w:rPr>
        <w:t>ti</w:t>
      </w:r>
      <w:r w:rsidR="003A27FA" w:rsidRPr="000B5F8C">
        <w:rPr>
          <w:spacing w:val="-3"/>
        </w:rPr>
        <w:t>v</w:t>
      </w:r>
      <w:r w:rsidR="003A27FA" w:rsidRPr="000B5F8C">
        <w:t>e</w:t>
      </w:r>
      <w:r w:rsidR="003A27FA" w:rsidRPr="000B5F8C">
        <w:rPr>
          <w:spacing w:val="-4"/>
        </w:rPr>
        <w:t xml:space="preserve"> </w:t>
      </w:r>
      <w:r w:rsidR="003A27FA" w:rsidRPr="000B5F8C">
        <w:rPr>
          <w:spacing w:val="8"/>
        </w:rPr>
        <w:t>W</w:t>
      </w:r>
      <w:r w:rsidR="003A27FA" w:rsidRPr="000B5F8C">
        <w:rPr>
          <w:spacing w:val="-2"/>
        </w:rPr>
        <w:t>o</w:t>
      </w:r>
      <w:r w:rsidR="003A27FA" w:rsidRPr="000B5F8C">
        <w:rPr>
          <w:spacing w:val="-1"/>
        </w:rPr>
        <w:t>m</w:t>
      </w:r>
      <w:r w:rsidR="003A27FA" w:rsidRPr="000B5F8C">
        <w:t>en</w:t>
      </w:r>
      <w:r w:rsidR="003A27FA" w:rsidRPr="000B5F8C">
        <w:rPr>
          <w:spacing w:val="-1"/>
        </w:rPr>
        <w:t xml:space="preserve"> </w:t>
      </w:r>
      <w:r w:rsidR="003A27FA" w:rsidRPr="000B5F8C">
        <w:t>a</w:t>
      </w:r>
      <w:r w:rsidR="003A27FA" w:rsidRPr="000B5F8C">
        <w:rPr>
          <w:spacing w:val="-2"/>
        </w:rPr>
        <w:t>n</w:t>
      </w:r>
      <w:r w:rsidR="003A27FA" w:rsidRPr="000B5F8C">
        <w:t>d</w:t>
      </w:r>
      <w:r w:rsidR="003A27FA" w:rsidRPr="000B5F8C">
        <w:rPr>
          <w:spacing w:val="1"/>
        </w:rPr>
        <w:t xml:space="preserve"> </w:t>
      </w:r>
      <w:r w:rsidR="003A27FA" w:rsidRPr="000B5F8C">
        <w:t>G</w:t>
      </w:r>
      <w:r w:rsidR="003A27FA" w:rsidRPr="000B5F8C">
        <w:rPr>
          <w:spacing w:val="-1"/>
        </w:rPr>
        <w:t>irl</w:t>
      </w:r>
      <w:r w:rsidR="003A27FA" w:rsidRPr="000B5F8C">
        <w:t>s St</w:t>
      </w:r>
      <w:r w:rsidR="003A27FA" w:rsidRPr="000B5F8C">
        <w:rPr>
          <w:spacing w:val="-1"/>
        </w:rPr>
        <w:t>r</w:t>
      </w:r>
      <w:r w:rsidR="003A27FA" w:rsidRPr="000B5F8C">
        <w:t>ate</w:t>
      </w:r>
      <w:r w:rsidR="003A27FA" w:rsidRPr="000B5F8C">
        <w:rPr>
          <w:spacing w:val="-2"/>
        </w:rPr>
        <w:t>g</w:t>
      </w:r>
      <w:r w:rsidR="003A27FA" w:rsidRPr="000B5F8C">
        <w:t>y</w:t>
      </w:r>
      <w:r w:rsidR="003A27FA">
        <w:t xml:space="preserve"> 2009</w:t>
      </w:r>
    </w:p>
    <w:p w14:paraId="6B8E1A14" w14:textId="0A281811" w:rsidR="003A27FA" w:rsidRDefault="004373CF" w:rsidP="006E7734">
      <w:pPr>
        <w:pStyle w:val="PolicyBulletPoint"/>
        <w:keepNext/>
      </w:pPr>
      <w:r w:rsidRPr="007A3755">
        <w:t>M</w:t>
      </w:r>
      <w:r>
        <w:t>erri-bek</w:t>
      </w:r>
      <w:r w:rsidR="003A27FA" w:rsidRPr="000B5F8C">
        <w:rPr>
          <w:spacing w:val="-1"/>
        </w:rPr>
        <w:t xml:space="preserve"> and Municipal Public H</w:t>
      </w:r>
      <w:r w:rsidR="003A27FA" w:rsidRPr="000B5F8C">
        <w:t>ea</w:t>
      </w:r>
      <w:r w:rsidR="003A27FA" w:rsidRPr="000B5F8C">
        <w:rPr>
          <w:spacing w:val="-1"/>
        </w:rPr>
        <w:t>l</w:t>
      </w:r>
      <w:r w:rsidR="003A27FA" w:rsidRPr="000B5F8C">
        <w:t>th</w:t>
      </w:r>
      <w:r w:rsidR="003A27FA" w:rsidRPr="000B5F8C">
        <w:rPr>
          <w:spacing w:val="-1"/>
        </w:rPr>
        <w:t xml:space="preserve"> </w:t>
      </w:r>
      <w:r w:rsidR="003A27FA" w:rsidRPr="000B5F8C">
        <w:t>and</w:t>
      </w:r>
      <w:r w:rsidR="003A27FA" w:rsidRPr="000B5F8C">
        <w:rPr>
          <w:spacing w:val="-6"/>
        </w:rPr>
        <w:t xml:space="preserve"> </w:t>
      </w:r>
      <w:r w:rsidR="003A27FA" w:rsidRPr="000B5F8C">
        <w:rPr>
          <w:spacing w:val="8"/>
        </w:rPr>
        <w:t>W</w:t>
      </w:r>
      <w:r w:rsidR="003A27FA" w:rsidRPr="000B5F8C">
        <w:rPr>
          <w:spacing w:val="-2"/>
        </w:rPr>
        <w:t>e</w:t>
      </w:r>
      <w:r w:rsidR="003A27FA" w:rsidRPr="000B5F8C">
        <w:rPr>
          <w:spacing w:val="-1"/>
        </w:rPr>
        <w:t>ll</w:t>
      </w:r>
      <w:r w:rsidR="003A27FA" w:rsidRPr="000B5F8C">
        <w:rPr>
          <w:spacing w:val="-2"/>
        </w:rPr>
        <w:t>b</w:t>
      </w:r>
      <w:r w:rsidR="003A27FA" w:rsidRPr="000B5F8C">
        <w:t>e</w:t>
      </w:r>
      <w:r w:rsidR="003A27FA" w:rsidRPr="000B5F8C">
        <w:rPr>
          <w:spacing w:val="-1"/>
        </w:rPr>
        <w:t>i</w:t>
      </w:r>
      <w:r w:rsidR="003A27FA" w:rsidRPr="000B5F8C">
        <w:t>ng</w:t>
      </w:r>
      <w:r w:rsidR="003A27FA" w:rsidRPr="000B5F8C">
        <w:rPr>
          <w:spacing w:val="-4"/>
        </w:rPr>
        <w:t xml:space="preserve"> </w:t>
      </w:r>
      <w:r w:rsidR="003A27FA" w:rsidRPr="000B5F8C">
        <w:t>P</w:t>
      </w:r>
      <w:r w:rsidR="003A27FA" w:rsidRPr="000B5F8C">
        <w:rPr>
          <w:spacing w:val="-1"/>
        </w:rPr>
        <w:t>l</w:t>
      </w:r>
      <w:r w:rsidR="003A27FA" w:rsidRPr="000B5F8C">
        <w:t>an 2013-2017</w:t>
      </w:r>
    </w:p>
    <w:p w14:paraId="458B736B" w14:textId="300B5E85" w:rsidR="003A27FA" w:rsidRPr="000B5F8C" w:rsidRDefault="004373CF" w:rsidP="006E7734">
      <w:pPr>
        <w:pStyle w:val="PolicyBulletPoint"/>
        <w:keepNext/>
      </w:pPr>
      <w:r w:rsidRPr="007A3755">
        <w:t>M</w:t>
      </w:r>
      <w:r>
        <w:t>erri-bek</w:t>
      </w:r>
      <w:r w:rsidR="003A27FA" w:rsidRPr="000B5F8C">
        <w:t xml:space="preserve"> Open Space Strategy 2012-2022</w:t>
      </w:r>
    </w:p>
    <w:p w14:paraId="11D796FB" w14:textId="77777777" w:rsidR="00AB3236" w:rsidRPr="000B5F8C" w:rsidRDefault="00AB3236" w:rsidP="00750AA5">
      <w:pPr>
        <w:pStyle w:val="PolicyBulletPoint"/>
      </w:pPr>
      <w:r w:rsidRPr="000B5F8C">
        <w:rPr>
          <w:spacing w:val="-1"/>
        </w:rPr>
        <w:t>Allocation and Use of Sporting Facilities, Grounds and Pavilions User Guide</w:t>
      </w:r>
    </w:p>
    <w:p w14:paraId="16C7DD20" w14:textId="77777777" w:rsidR="00AB3236" w:rsidRPr="000B5F8C" w:rsidRDefault="00AB3236" w:rsidP="00750AA5">
      <w:pPr>
        <w:pStyle w:val="PolicyBulletPoint"/>
      </w:pPr>
      <w:r w:rsidRPr="000B5F8C">
        <w:t xml:space="preserve">Access </w:t>
      </w:r>
      <w:r w:rsidRPr="000B5F8C">
        <w:rPr>
          <w:spacing w:val="-2"/>
        </w:rPr>
        <w:t>a</w:t>
      </w:r>
      <w:r w:rsidRPr="000B5F8C">
        <w:t>nd</w:t>
      </w:r>
      <w:r w:rsidRPr="000B5F8C">
        <w:rPr>
          <w:spacing w:val="1"/>
        </w:rPr>
        <w:t xml:space="preserve"> </w:t>
      </w:r>
      <w:r w:rsidRPr="000B5F8C">
        <w:rPr>
          <w:spacing w:val="-2"/>
        </w:rPr>
        <w:t>I</w:t>
      </w:r>
      <w:r w:rsidRPr="000B5F8C">
        <w:t>nc</w:t>
      </w:r>
      <w:r w:rsidRPr="000B5F8C">
        <w:rPr>
          <w:spacing w:val="-1"/>
        </w:rPr>
        <w:t>l</w:t>
      </w:r>
      <w:r w:rsidRPr="000B5F8C">
        <w:t>us</w:t>
      </w:r>
      <w:r w:rsidRPr="000B5F8C">
        <w:rPr>
          <w:spacing w:val="-1"/>
        </w:rPr>
        <w:t>i</w:t>
      </w:r>
      <w:r w:rsidRPr="000B5F8C">
        <w:rPr>
          <w:spacing w:val="-2"/>
        </w:rPr>
        <w:t>o</w:t>
      </w:r>
      <w:r w:rsidRPr="000B5F8C">
        <w:t>n</w:t>
      </w:r>
      <w:r w:rsidRPr="000B5F8C">
        <w:rPr>
          <w:spacing w:val="-1"/>
        </w:rPr>
        <w:t xml:space="preserve"> </w:t>
      </w:r>
      <w:r w:rsidRPr="000B5F8C">
        <w:t>Po</w:t>
      </w:r>
      <w:r w:rsidRPr="000B5F8C">
        <w:rPr>
          <w:spacing w:val="-1"/>
        </w:rPr>
        <w:t>li</w:t>
      </w:r>
      <w:r w:rsidRPr="000B5F8C">
        <w:t>cy</w:t>
      </w:r>
    </w:p>
    <w:p w14:paraId="0C7AC21C" w14:textId="77777777" w:rsidR="00AB3236" w:rsidRPr="000B5F8C" w:rsidRDefault="00AB3236" w:rsidP="00750AA5">
      <w:pPr>
        <w:pStyle w:val="PolicyBulletPoint"/>
      </w:pPr>
      <w:r w:rsidRPr="000B5F8C">
        <w:t xml:space="preserve">Fees </w:t>
      </w:r>
      <w:r w:rsidRPr="000B5F8C">
        <w:rPr>
          <w:spacing w:val="-2"/>
        </w:rPr>
        <w:t>a</w:t>
      </w:r>
      <w:r w:rsidRPr="000B5F8C">
        <w:t>nd</w:t>
      </w:r>
      <w:r w:rsidRPr="000B5F8C">
        <w:rPr>
          <w:spacing w:val="1"/>
        </w:rPr>
        <w:t xml:space="preserve"> </w:t>
      </w:r>
      <w:r w:rsidRPr="000B5F8C">
        <w:t>C</w:t>
      </w:r>
      <w:r w:rsidRPr="000B5F8C">
        <w:rPr>
          <w:spacing w:val="-2"/>
        </w:rPr>
        <w:t>h</w:t>
      </w:r>
      <w:r w:rsidRPr="000B5F8C">
        <w:t>ar</w:t>
      </w:r>
      <w:r w:rsidRPr="000B5F8C">
        <w:rPr>
          <w:spacing w:val="-2"/>
        </w:rPr>
        <w:t>g</w:t>
      </w:r>
      <w:r w:rsidRPr="000B5F8C">
        <w:t>es Pol</w:t>
      </w:r>
      <w:r w:rsidRPr="000B5F8C">
        <w:rPr>
          <w:spacing w:val="-3"/>
        </w:rPr>
        <w:t>i</w:t>
      </w:r>
      <w:r w:rsidRPr="000B5F8C">
        <w:t>cy</w:t>
      </w:r>
    </w:p>
    <w:p w14:paraId="5C756976" w14:textId="77777777" w:rsidR="00AB3236" w:rsidRPr="000B5F8C" w:rsidRDefault="00AB3236" w:rsidP="00750AA5">
      <w:pPr>
        <w:pStyle w:val="PolicyBulletPoint"/>
      </w:pPr>
      <w:r w:rsidRPr="000B5F8C">
        <w:t>Lea</w:t>
      </w:r>
      <w:r w:rsidRPr="000B5F8C">
        <w:rPr>
          <w:spacing w:val="-3"/>
        </w:rPr>
        <w:t>s</w:t>
      </w:r>
      <w:r w:rsidRPr="000B5F8C">
        <w:t>e</w:t>
      </w:r>
      <w:r w:rsidRPr="000B5F8C">
        <w:rPr>
          <w:spacing w:val="1"/>
        </w:rPr>
        <w:t xml:space="preserve"> </w:t>
      </w:r>
      <w:r w:rsidRPr="000B5F8C">
        <w:t>Princ</w:t>
      </w:r>
      <w:r w:rsidRPr="000B5F8C">
        <w:rPr>
          <w:spacing w:val="-2"/>
        </w:rPr>
        <w:t>i</w:t>
      </w:r>
      <w:r w:rsidRPr="000B5F8C">
        <w:t>ples</w:t>
      </w:r>
      <w:r w:rsidRPr="000B5F8C">
        <w:rPr>
          <w:spacing w:val="-2"/>
        </w:rPr>
        <w:t xml:space="preserve"> </w:t>
      </w:r>
      <w:r w:rsidRPr="000B5F8C">
        <w:t>Poli</w:t>
      </w:r>
      <w:r w:rsidRPr="000B5F8C">
        <w:rPr>
          <w:spacing w:val="-3"/>
        </w:rPr>
        <w:t>c</w:t>
      </w:r>
      <w:r w:rsidRPr="000B5F8C">
        <w:t>y</w:t>
      </w:r>
    </w:p>
    <w:p w14:paraId="1F5BC40A" w14:textId="77777777" w:rsidR="00AB3236" w:rsidRPr="000B5F8C" w:rsidRDefault="00AB3236" w:rsidP="00750AA5">
      <w:pPr>
        <w:pStyle w:val="PolicyBulletPoint"/>
      </w:pPr>
      <w:r w:rsidRPr="000B5F8C">
        <w:t>Property</w:t>
      </w:r>
      <w:r w:rsidRPr="000B5F8C">
        <w:rPr>
          <w:spacing w:val="-2"/>
        </w:rPr>
        <w:t xml:space="preserve"> </w:t>
      </w:r>
      <w:r w:rsidRPr="000B5F8C">
        <w:t>Leas</w:t>
      </w:r>
      <w:r w:rsidRPr="000B5F8C">
        <w:rPr>
          <w:spacing w:val="-4"/>
        </w:rPr>
        <w:t>i</w:t>
      </w:r>
      <w:r w:rsidRPr="000B5F8C">
        <w:t>ng Policy</w:t>
      </w:r>
    </w:p>
    <w:p w14:paraId="1E7C63E4" w14:textId="77777777" w:rsidR="00506F47" w:rsidRPr="000D47EC" w:rsidRDefault="00506F47" w:rsidP="000D47EC">
      <w:pPr>
        <w:pStyle w:val="PolicyHeading2"/>
        <w:rPr>
          <w:i/>
        </w:rPr>
      </w:pPr>
      <w:r w:rsidRPr="000D47EC">
        <w:t>Organisational Context</w:t>
      </w:r>
    </w:p>
    <w:p w14:paraId="2510D468" w14:textId="77777777" w:rsidR="00675ADC" w:rsidRPr="00750AA5" w:rsidRDefault="00675ADC" w:rsidP="00750AA5">
      <w:pPr>
        <w:pStyle w:val="Policybodytext"/>
        <w:rPr>
          <w:b/>
        </w:rPr>
      </w:pPr>
      <w:r w:rsidRPr="00750AA5">
        <w:rPr>
          <w:b/>
        </w:rPr>
        <w:t xml:space="preserve">State Government </w:t>
      </w:r>
    </w:p>
    <w:p w14:paraId="11B16490" w14:textId="77777777" w:rsidR="00EC4DB3" w:rsidRDefault="00CD6DA9" w:rsidP="00750AA5">
      <w:pPr>
        <w:pStyle w:val="Policybodytext"/>
      </w:pPr>
      <w:r w:rsidRPr="00CD6DA9">
        <w:t xml:space="preserve">Sport and Recreation Victoria </w:t>
      </w:r>
      <w:r>
        <w:t xml:space="preserve">lists </w:t>
      </w:r>
      <w:r w:rsidRPr="00CD6DA9">
        <w:t>community programs that encourage more people to be physically active and that support local government and local sport and recreation clubs to improve access to sporting and recreational facilities</w:t>
      </w:r>
      <w:r>
        <w:t xml:space="preserve"> as a key priority area.</w:t>
      </w:r>
    </w:p>
    <w:p w14:paraId="5D6BA66D" w14:textId="77777777" w:rsidR="001927F0" w:rsidRDefault="001927F0" w:rsidP="00750AA5">
      <w:pPr>
        <w:pStyle w:val="Policybodytext"/>
      </w:pPr>
      <w:r w:rsidRPr="001927F0">
        <w:t xml:space="preserve">A recently released Inquiry into </w:t>
      </w:r>
      <w:r w:rsidRPr="001927F0">
        <w:rPr>
          <w:i/>
        </w:rPr>
        <w:t>Women and Girls in Sport and Active Recreation: A Five Year Game Plan for Victoria</w:t>
      </w:r>
      <w:r w:rsidR="00104A8E">
        <w:rPr>
          <w:i/>
        </w:rPr>
        <w:t xml:space="preserve"> (2015)</w:t>
      </w:r>
      <w:r w:rsidRPr="001927F0">
        <w:t xml:space="preserve"> by the State Government lists the following themes and recommendations that support Council’s proactive work in increasing female participation within its sporting clubs:</w:t>
      </w:r>
    </w:p>
    <w:tbl>
      <w:tblPr>
        <w:tblW w:w="9072" w:type="dxa"/>
        <w:tblInd w:w="108" w:type="dxa"/>
        <w:tblBorders>
          <w:top w:val="single" w:sz="8" w:space="0" w:color="000000"/>
          <w:bottom w:val="single" w:sz="8" w:space="0" w:color="000000"/>
        </w:tblBorders>
        <w:tblLook w:val="04A0" w:firstRow="1" w:lastRow="0" w:firstColumn="1" w:lastColumn="0" w:noHBand="0" w:noVBand="1"/>
      </w:tblPr>
      <w:tblGrid>
        <w:gridCol w:w="3969"/>
        <w:gridCol w:w="5103"/>
      </w:tblGrid>
      <w:tr w:rsidR="001927F0" w14:paraId="6ECF9356" w14:textId="77777777" w:rsidTr="004455ED">
        <w:tc>
          <w:tcPr>
            <w:tcW w:w="3969" w:type="dxa"/>
            <w:tcBorders>
              <w:top w:val="single" w:sz="8" w:space="0" w:color="000000"/>
              <w:left w:val="nil"/>
              <w:bottom w:val="single" w:sz="8" w:space="0" w:color="000000"/>
              <w:right w:val="nil"/>
            </w:tcBorders>
          </w:tcPr>
          <w:p w14:paraId="05DC93B2" w14:textId="77777777" w:rsidR="001927F0" w:rsidRPr="004455ED" w:rsidRDefault="001927F0" w:rsidP="006309FC">
            <w:pPr>
              <w:pStyle w:val="PolicyTabletext"/>
              <w:rPr>
                <w:b/>
                <w:bCs w:val="0"/>
                <w:color w:val="000000"/>
              </w:rPr>
            </w:pPr>
            <w:r w:rsidRPr="004455ED">
              <w:rPr>
                <w:b/>
                <w:bCs w:val="0"/>
                <w:color w:val="000000"/>
              </w:rPr>
              <w:t>Commitment to Outcomes</w:t>
            </w:r>
          </w:p>
        </w:tc>
        <w:tc>
          <w:tcPr>
            <w:tcW w:w="5103" w:type="dxa"/>
            <w:tcBorders>
              <w:top w:val="single" w:sz="8" w:space="0" w:color="000000"/>
              <w:left w:val="nil"/>
              <w:bottom w:val="single" w:sz="8" w:space="0" w:color="000000"/>
              <w:right w:val="nil"/>
            </w:tcBorders>
          </w:tcPr>
          <w:p w14:paraId="7A1ABCF2" w14:textId="77777777" w:rsidR="001927F0" w:rsidRPr="004455ED" w:rsidRDefault="001927F0" w:rsidP="006309FC">
            <w:pPr>
              <w:pStyle w:val="PolicyTabletext"/>
              <w:rPr>
                <w:b/>
                <w:bCs w:val="0"/>
                <w:color w:val="000000"/>
              </w:rPr>
            </w:pPr>
            <w:r w:rsidRPr="004455ED">
              <w:rPr>
                <w:bCs w:val="0"/>
                <w:color w:val="000000"/>
              </w:rPr>
              <w:t>Mandate Gender Balance and Good Governance Principles</w:t>
            </w:r>
          </w:p>
        </w:tc>
      </w:tr>
      <w:tr w:rsidR="001927F0" w14:paraId="43EDA88F" w14:textId="77777777" w:rsidTr="004455ED">
        <w:tc>
          <w:tcPr>
            <w:tcW w:w="3969" w:type="dxa"/>
            <w:tcBorders>
              <w:left w:val="nil"/>
              <w:right w:val="nil"/>
            </w:tcBorders>
            <w:shd w:val="clear" w:color="auto" w:fill="C0C0C0"/>
          </w:tcPr>
          <w:p w14:paraId="2C543B29" w14:textId="77777777" w:rsidR="001927F0" w:rsidRPr="004455ED" w:rsidRDefault="001927F0" w:rsidP="006309FC">
            <w:pPr>
              <w:pStyle w:val="PolicyTabletext"/>
              <w:rPr>
                <w:b/>
                <w:bCs w:val="0"/>
                <w:color w:val="000000"/>
              </w:rPr>
            </w:pPr>
            <w:r w:rsidRPr="004455ED">
              <w:rPr>
                <w:b/>
                <w:bCs w:val="0"/>
                <w:color w:val="000000"/>
              </w:rPr>
              <w:t>Innovative Ways  to Effect Change</w:t>
            </w:r>
          </w:p>
        </w:tc>
        <w:tc>
          <w:tcPr>
            <w:tcW w:w="5103" w:type="dxa"/>
            <w:tcBorders>
              <w:left w:val="nil"/>
              <w:right w:val="nil"/>
            </w:tcBorders>
            <w:shd w:val="clear" w:color="auto" w:fill="C0C0C0"/>
          </w:tcPr>
          <w:p w14:paraId="366E638B" w14:textId="77777777" w:rsidR="001927F0" w:rsidRPr="004455ED" w:rsidRDefault="001927F0" w:rsidP="006309FC">
            <w:pPr>
              <w:pStyle w:val="PolicyTabletext"/>
              <w:rPr>
                <w:color w:val="000000"/>
              </w:rPr>
            </w:pPr>
            <w:r w:rsidRPr="004455ED">
              <w:rPr>
                <w:color w:val="000000"/>
              </w:rPr>
              <w:t>Enhance Participation Choice and Improve How Opportunities are Marketed</w:t>
            </w:r>
          </w:p>
        </w:tc>
      </w:tr>
      <w:tr w:rsidR="001927F0" w14:paraId="2EB01F00" w14:textId="77777777" w:rsidTr="004455ED">
        <w:tc>
          <w:tcPr>
            <w:tcW w:w="3969" w:type="dxa"/>
          </w:tcPr>
          <w:p w14:paraId="0F68405B" w14:textId="77777777" w:rsidR="001927F0" w:rsidRPr="004455ED" w:rsidRDefault="001927F0" w:rsidP="006309FC">
            <w:pPr>
              <w:pStyle w:val="PolicyTabletext"/>
              <w:rPr>
                <w:b/>
                <w:bCs w:val="0"/>
                <w:color w:val="000000"/>
              </w:rPr>
            </w:pPr>
            <w:r w:rsidRPr="004455ED">
              <w:rPr>
                <w:b/>
                <w:bCs w:val="0"/>
                <w:color w:val="000000"/>
              </w:rPr>
              <w:t>Change the Environment</w:t>
            </w:r>
          </w:p>
        </w:tc>
        <w:tc>
          <w:tcPr>
            <w:tcW w:w="5103" w:type="dxa"/>
          </w:tcPr>
          <w:p w14:paraId="2D79A4B2" w14:textId="77777777" w:rsidR="001927F0" w:rsidRPr="004455ED" w:rsidRDefault="001927F0" w:rsidP="006309FC">
            <w:pPr>
              <w:pStyle w:val="PolicyTabletext"/>
              <w:rPr>
                <w:color w:val="000000"/>
              </w:rPr>
            </w:pPr>
            <w:r w:rsidRPr="004455ED">
              <w:rPr>
                <w:color w:val="000000"/>
              </w:rPr>
              <w:t>Deliver Female Friendly Built Environments and Equitable</w:t>
            </w:r>
          </w:p>
        </w:tc>
      </w:tr>
      <w:tr w:rsidR="001927F0" w14:paraId="7E885448" w14:textId="77777777" w:rsidTr="004455ED">
        <w:tc>
          <w:tcPr>
            <w:tcW w:w="3969" w:type="dxa"/>
            <w:tcBorders>
              <w:left w:val="nil"/>
              <w:right w:val="nil"/>
            </w:tcBorders>
            <w:shd w:val="clear" w:color="auto" w:fill="C0C0C0"/>
          </w:tcPr>
          <w:p w14:paraId="35A210C7" w14:textId="77777777" w:rsidR="001927F0" w:rsidRPr="004455ED" w:rsidRDefault="001927F0" w:rsidP="006309FC">
            <w:pPr>
              <w:pStyle w:val="PolicyTabletext"/>
              <w:rPr>
                <w:b/>
                <w:bCs w:val="0"/>
                <w:color w:val="000000"/>
              </w:rPr>
            </w:pPr>
            <w:r w:rsidRPr="004455ED">
              <w:rPr>
                <w:b/>
                <w:bCs w:val="0"/>
                <w:color w:val="000000"/>
              </w:rPr>
              <w:t>Showcase Achievement</w:t>
            </w:r>
          </w:p>
        </w:tc>
        <w:tc>
          <w:tcPr>
            <w:tcW w:w="5103" w:type="dxa"/>
            <w:tcBorders>
              <w:left w:val="nil"/>
              <w:right w:val="nil"/>
            </w:tcBorders>
            <w:shd w:val="clear" w:color="auto" w:fill="C0C0C0"/>
          </w:tcPr>
          <w:p w14:paraId="256A6A9A" w14:textId="77777777" w:rsidR="001927F0" w:rsidRPr="004455ED" w:rsidRDefault="001927F0" w:rsidP="006309FC">
            <w:pPr>
              <w:pStyle w:val="PolicyTabletext"/>
              <w:rPr>
                <w:color w:val="000000"/>
              </w:rPr>
            </w:pPr>
            <w:r w:rsidRPr="004455ED">
              <w:rPr>
                <w:color w:val="000000"/>
              </w:rPr>
              <w:t>Provide Pathways and Opportunities</w:t>
            </w:r>
          </w:p>
        </w:tc>
      </w:tr>
    </w:tbl>
    <w:p w14:paraId="4F165327" w14:textId="77777777" w:rsidR="00675ADC" w:rsidRPr="00750AA5" w:rsidRDefault="00675ADC" w:rsidP="00750AA5">
      <w:pPr>
        <w:pStyle w:val="Policybodytext"/>
        <w:rPr>
          <w:b/>
        </w:rPr>
      </w:pPr>
      <w:r w:rsidRPr="00750AA5">
        <w:rPr>
          <w:b/>
        </w:rPr>
        <w:t xml:space="preserve">Federal Government </w:t>
      </w:r>
    </w:p>
    <w:p w14:paraId="2680E8E5" w14:textId="77777777" w:rsidR="00675ADC" w:rsidRPr="007A3755" w:rsidRDefault="00675ADC" w:rsidP="00750AA5">
      <w:pPr>
        <w:pStyle w:val="Policybodytext"/>
      </w:pPr>
      <w:r w:rsidRPr="007A3755">
        <w:t xml:space="preserve">The Council of Australian Governments’ (COAG) </w:t>
      </w:r>
      <w:r w:rsidR="007201B7">
        <w:t>identifies the need for local C</w:t>
      </w:r>
      <w:r w:rsidRPr="007A3755">
        <w:t>ouncils to:</w:t>
      </w:r>
    </w:p>
    <w:p w14:paraId="3A7357FB" w14:textId="77777777" w:rsidR="00675ADC" w:rsidRPr="00675ADC" w:rsidRDefault="00F80543" w:rsidP="00750AA5">
      <w:pPr>
        <w:pStyle w:val="PolicyBulletPoint"/>
      </w:pPr>
      <w:r w:rsidRPr="00675ADC">
        <w:t>I</w:t>
      </w:r>
      <w:r w:rsidR="00675ADC" w:rsidRPr="00675ADC">
        <w:t>ncrease people’s awareness of the importance of physic</w:t>
      </w:r>
      <w:r>
        <w:t>al activity and healthy eating.</w:t>
      </w:r>
    </w:p>
    <w:p w14:paraId="76031A43" w14:textId="77777777" w:rsidR="00675ADC" w:rsidRPr="00675ADC" w:rsidRDefault="00F80543" w:rsidP="00750AA5">
      <w:pPr>
        <w:pStyle w:val="PolicyBulletPoint"/>
      </w:pPr>
      <w:r w:rsidRPr="00675ADC">
        <w:t>I</w:t>
      </w:r>
      <w:r w:rsidR="00675ADC" w:rsidRPr="00675ADC">
        <w:t>ncrease the availability of accredited and appropriate physical activity, dietary education and healthy lifestyle programs</w:t>
      </w:r>
      <w:r>
        <w:t>.</w:t>
      </w:r>
    </w:p>
    <w:p w14:paraId="701373A0" w14:textId="77777777" w:rsidR="00F10F59" w:rsidRPr="00F10F59" w:rsidRDefault="00F80543" w:rsidP="00750AA5">
      <w:pPr>
        <w:pStyle w:val="PolicyBulletPoint"/>
      </w:pPr>
      <w:r w:rsidRPr="00675ADC">
        <w:t>I</w:t>
      </w:r>
      <w:r w:rsidR="00675ADC" w:rsidRPr="00675ADC">
        <w:t>ncrease participation in these community based programs for those who are least likely to participate</w:t>
      </w:r>
      <w:r>
        <w:t>.</w:t>
      </w:r>
    </w:p>
    <w:p w14:paraId="3547A18F" w14:textId="77777777" w:rsidR="00675ADC" w:rsidRPr="00F10F59" w:rsidRDefault="00F80543" w:rsidP="00750AA5">
      <w:pPr>
        <w:pStyle w:val="PolicyBulletPoint"/>
      </w:pPr>
      <w:r w:rsidRPr="00F10F59">
        <w:t>U</w:t>
      </w:r>
      <w:r w:rsidR="00675ADC" w:rsidRPr="00F10F59">
        <w:t>tilise resources currently available through local government, the community and the commercial fitness, wellness and weight management sectors to facilitate the expansion of programs.</w:t>
      </w:r>
    </w:p>
    <w:p w14:paraId="180DBC19" w14:textId="77777777" w:rsidR="00506F47" w:rsidRPr="000D47EC" w:rsidRDefault="00506F47" w:rsidP="000D47EC">
      <w:pPr>
        <w:pStyle w:val="PolicyHeading2"/>
        <w:rPr>
          <w:i/>
        </w:rPr>
      </w:pPr>
      <w:r w:rsidRPr="000D47EC">
        <w:t>Research and other drivers</w:t>
      </w:r>
    </w:p>
    <w:p w14:paraId="61F5DA0E" w14:textId="77777777" w:rsidR="00EC4DB3" w:rsidRPr="00980FD9" w:rsidRDefault="00980FD9" w:rsidP="00750AA5">
      <w:pPr>
        <w:pStyle w:val="Policybodytext"/>
      </w:pPr>
      <w:r w:rsidRPr="00980FD9">
        <w:t>The Active Women and Girls Strategy (2009) identified that a significant barrier to female participation is the lack of ‘pathways’ between the various sporting activities, and places where sport is played.</w:t>
      </w:r>
    </w:p>
    <w:p w14:paraId="2FBB3629" w14:textId="77777777" w:rsidR="00E70889" w:rsidRDefault="00965BBA" w:rsidP="000D47EC">
      <w:pPr>
        <w:pStyle w:val="PolicyHeading1"/>
      </w:pPr>
      <w:bookmarkStart w:id="4" w:name="_Toc311535096"/>
      <w:bookmarkStart w:id="5" w:name="_Toc321227921"/>
      <w:bookmarkStart w:id="6" w:name="_Toc321228189"/>
      <w:bookmarkStart w:id="7" w:name="_Toc321228362"/>
      <w:bookmarkStart w:id="8" w:name="_Toc321228986"/>
      <w:bookmarkStart w:id="9" w:name="_Toc323630324"/>
      <w:bookmarkStart w:id="10" w:name="_Toc323630367"/>
      <w:bookmarkStart w:id="11" w:name="_Toc323630448"/>
      <w:bookmarkStart w:id="12" w:name="_Toc335216527"/>
      <w:bookmarkStart w:id="13" w:name="_Toc335217358"/>
      <w:bookmarkStart w:id="14" w:name="_Toc335217994"/>
      <w:bookmarkStart w:id="15" w:name="_Toc336507813"/>
      <w:bookmarkStart w:id="16" w:name="_Toc338250692"/>
      <w:r w:rsidRPr="000D47EC">
        <w:lastRenderedPageBreak/>
        <w:t>OBJECTIVE</w:t>
      </w:r>
      <w:bookmarkEnd w:id="4"/>
      <w:r w:rsidR="007C0288" w:rsidRPr="000D47EC">
        <w:t>S</w:t>
      </w:r>
      <w:bookmarkEnd w:id="5"/>
      <w:bookmarkEnd w:id="6"/>
      <w:bookmarkEnd w:id="7"/>
      <w:bookmarkEnd w:id="8"/>
      <w:bookmarkEnd w:id="9"/>
      <w:bookmarkEnd w:id="10"/>
      <w:bookmarkEnd w:id="11"/>
      <w:bookmarkEnd w:id="12"/>
      <w:bookmarkEnd w:id="13"/>
      <w:bookmarkEnd w:id="14"/>
      <w:bookmarkEnd w:id="15"/>
      <w:bookmarkEnd w:id="16"/>
    </w:p>
    <w:p w14:paraId="3C198C06" w14:textId="77777777" w:rsidR="000B5F8C" w:rsidRDefault="00C23E9E" w:rsidP="00750AA5">
      <w:pPr>
        <w:pStyle w:val="PolicyBulletPoint"/>
      </w:pPr>
      <w:r w:rsidRPr="00C23E9E">
        <w:t xml:space="preserve">To </w:t>
      </w:r>
      <w:r w:rsidR="003A27FA">
        <w:t>increase</w:t>
      </w:r>
      <w:r w:rsidRPr="00C23E9E">
        <w:t xml:space="preserve"> participation in sport and physical activity</w:t>
      </w:r>
      <w:r w:rsidR="003A27FA">
        <w:t xml:space="preserve"> for women and girls, juniors, people with a disability and people from Culturally and Linguistically Diverse backgrounds.</w:t>
      </w:r>
    </w:p>
    <w:p w14:paraId="3B1DA6CF" w14:textId="113AFA83" w:rsidR="00675ADC" w:rsidRPr="00675ADC" w:rsidRDefault="00F80543" w:rsidP="00750AA5">
      <w:pPr>
        <w:pStyle w:val="PolicyBulletPoint"/>
      </w:pPr>
      <w:r w:rsidRPr="00675ADC">
        <w:t>E</w:t>
      </w:r>
      <w:r w:rsidR="00675ADC" w:rsidRPr="00675ADC">
        <w:t xml:space="preserve">nsure </w:t>
      </w:r>
      <w:r w:rsidR="004373CF" w:rsidRPr="007A3755">
        <w:t>M</w:t>
      </w:r>
      <w:r w:rsidR="004373CF">
        <w:t>erri-bek</w:t>
      </w:r>
      <w:r w:rsidR="00675ADC" w:rsidRPr="00675ADC">
        <w:t xml:space="preserve"> residents are more active more often at all stages of life</w:t>
      </w:r>
      <w:r>
        <w:t>.</w:t>
      </w:r>
    </w:p>
    <w:p w14:paraId="7B952ADD" w14:textId="77777777" w:rsidR="00675ADC" w:rsidRPr="00675ADC" w:rsidRDefault="00F80543" w:rsidP="00750AA5">
      <w:pPr>
        <w:pStyle w:val="PolicyBulletPoint"/>
      </w:pPr>
      <w:r w:rsidRPr="00675ADC">
        <w:t>P</w:t>
      </w:r>
      <w:r w:rsidR="00675ADC" w:rsidRPr="00675ADC">
        <w:t>rovide a diverse range of recreation opportunities that reflect our diverse community</w:t>
      </w:r>
      <w:r>
        <w:t>.</w:t>
      </w:r>
      <w:r w:rsidR="00675ADC" w:rsidRPr="00675ADC">
        <w:t xml:space="preserve"> </w:t>
      </w:r>
    </w:p>
    <w:p w14:paraId="249A4E0F" w14:textId="77777777" w:rsidR="00675ADC" w:rsidRPr="00675ADC" w:rsidRDefault="00F80543" w:rsidP="00750AA5">
      <w:pPr>
        <w:pStyle w:val="PolicyBulletPoint"/>
      </w:pPr>
      <w:r w:rsidRPr="00675ADC">
        <w:t>P</w:t>
      </w:r>
      <w:r w:rsidR="00675ADC" w:rsidRPr="00675ADC">
        <w:t>rovide supportive environments and facilities which encourage participation</w:t>
      </w:r>
      <w:r>
        <w:t>.</w:t>
      </w:r>
    </w:p>
    <w:p w14:paraId="4EB14CF8" w14:textId="77777777" w:rsidR="00675ADC" w:rsidRDefault="00F80543" w:rsidP="00750AA5">
      <w:pPr>
        <w:pStyle w:val="PolicyBulletPoint"/>
      </w:pPr>
      <w:r w:rsidRPr="00675ADC">
        <w:t>D</w:t>
      </w:r>
      <w:r w:rsidR="00675ADC" w:rsidRPr="00675ADC">
        <w:t>evelop and maintain partnerships to enhance participation options.</w:t>
      </w:r>
    </w:p>
    <w:p w14:paraId="02E2B6CA" w14:textId="77777777" w:rsidR="00675ADC" w:rsidRDefault="00675ADC" w:rsidP="00750AA5">
      <w:pPr>
        <w:pStyle w:val="Policybodytext"/>
      </w:pPr>
      <w:r>
        <w:t>As a result, this will:</w:t>
      </w:r>
    </w:p>
    <w:p w14:paraId="4E8B1E0D" w14:textId="77777777" w:rsidR="00675ADC" w:rsidRPr="00675ADC" w:rsidRDefault="00F80543" w:rsidP="00750AA5">
      <w:pPr>
        <w:pStyle w:val="PolicyBulletPoint"/>
      </w:pPr>
      <w:r w:rsidRPr="00675ADC">
        <w:t>I</w:t>
      </w:r>
      <w:r w:rsidR="00675ADC" w:rsidRPr="00675ADC">
        <w:t>mprove personal health and wellbeing</w:t>
      </w:r>
      <w:r>
        <w:t>;</w:t>
      </w:r>
    </w:p>
    <w:p w14:paraId="4A0CBB2E" w14:textId="77777777" w:rsidR="00675ADC" w:rsidRPr="00675ADC" w:rsidRDefault="00F80543" w:rsidP="00750AA5">
      <w:pPr>
        <w:pStyle w:val="PolicyBulletPoint"/>
      </w:pPr>
      <w:r w:rsidRPr="00675ADC">
        <w:t>E</w:t>
      </w:r>
      <w:r w:rsidR="00675ADC" w:rsidRPr="00675ADC">
        <w:t>ncourage social interaction</w:t>
      </w:r>
      <w:r>
        <w:t>;</w:t>
      </w:r>
    </w:p>
    <w:p w14:paraId="6575B81D" w14:textId="77777777" w:rsidR="00675ADC" w:rsidRPr="00675ADC" w:rsidRDefault="00F80543" w:rsidP="00750AA5">
      <w:pPr>
        <w:pStyle w:val="PolicyBulletPoint"/>
      </w:pPr>
      <w:r w:rsidRPr="00675ADC">
        <w:t>C</w:t>
      </w:r>
      <w:r w:rsidR="00675ADC" w:rsidRPr="00675ADC">
        <w:t>ontribute to resilient families</w:t>
      </w:r>
      <w:r>
        <w:t>;</w:t>
      </w:r>
    </w:p>
    <w:p w14:paraId="702519A8" w14:textId="77777777" w:rsidR="00675ADC" w:rsidRPr="00675ADC" w:rsidRDefault="00F80543" w:rsidP="00750AA5">
      <w:pPr>
        <w:pStyle w:val="PolicyBulletPoint"/>
      </w:pPr>
      <w:r w:rsidRPr="00675ADC">
        <w:t>B</w:t>
      </w:r>
      <w:r w:rsidR="00675ADC" w:rsidRPr="00675ADC">
        <w:t>ring communities together</w:t>
      </w:r>
      <w:r>
        <w:t>;</w:t>
      </w:r>
    </w:p>
    <w:p w14:paraId="5A563C2A" w14:textId="77777777" w:rsidR="00675ADC" w:rsidRPr="00675ADC" w:rsidRDefault="00F80543" w:rsidP="00750AA5">
      <w:pPr>
        <w:pStyle w:val="PolicyBulletPoint"/>
      </w:pPr>
      <w:r w:rsidRPr="00675ADC">
        <w:t>D</w:t>
      </w:r>
      <w:r w:rsidR="00675ADC" w:rsidRPr="00675ADC">
        <w:t>evelop community pride</w:t>
      </w:r>
      <w:r>
        <w:t>;</w:t>
      </w:r>
    </w:p>
    <w:p w14:paraId="394EF418" w14:textId="77777777" w:rsidR="00675ADC" w:rsidRPr="00675ADC" w:rsidRDefault="00F80543" w:rsidP="00750AA5">
      <w:pPr>
        <w:pStyle w:val="PolicyBulletPoint"/>
      </w:pPr>
      <w:r w:rsidRPr="00675ADC">
        <w:t xml:space="preserve">Generate </w:t>
      </w:r>
      <w:r w:rsidR="00675ADC" w:rsidRPr="00675ADC">
        <w:t>economic activity</w:t>
      </w:r>
      <w:r>
        <w:t>;</w:t>
      </w:r>
    </w:p>
    <w:p w14:paraId="24F71895" w14:textId="77777777" w:rsidR="00675ADC" w:rsidRPr="00675ADC" w:rsidRDefault="00F80543" w:rsidP="00750AA5">
      <w:pPr>
        <w:pStyle w:val="PolicyBulletPoint"/>
      </w:pPr>
      <w:r w:rsidRPr="00675ADC">
        <w:t>R</w:t>
      </w:r>
      <w:r w:rsidR="00675ADC" w:rsidRPr="00675ADC">
        <w:t>educe healthcare costs</w:t>
      </w:r>
      <w:r>
        <w:t>;</w:t>
      </w:r>
      <w:r w:rsidR="00675ADC">
        <w:t xml:space="preserve"> </w:t>
      </w:r>
    </w:p>
    <w:p w14:paraId="3676DA21" w14:textId="77777777" w:rsidR="00675ADC" w:rsidRDefault="00F80543" w:rsidP="00750AA5">
      <w:pPr>
        <w:pStyle w:val="PolicyBulletPoint"/>
      </w:pPr>
      <w:r w:rsidRPr="00675ADC">
        <w:t>E</w:t>
      </w:r>
      <w:r w:rsidR="00675ADC" w:rsidRPr="00675ADC">
        <w:t>nhance quality of life</w:t>
      </w:r>
      <w:r>
        <w:t>;</w:t>
      </w:r>
      <w:r w:rsidR="00104A8E">
        <w:t xml:space="preserve"> and</w:t>
      </w:r>
    </w:p>
    <w:p w14:paraId="089B0134" w14:textId="77777777" w:rsidR="00104A8E" w:rsidRPr="00675ADC" w:rsidRDefault="00F80543" w:rsidP="00750AA5">
      <w:pPr>
        <w:pStyle w:val="PolicyBulletPoint"/>
      </w:pPr>
      <w:r>
        <w:t>P</w:t>
      </w:r>
      <w:r w:rsidR="00104A8E">
        <w:t>rovide equitable use of Council facilities.</w:t>
      </w:r>
    </w:p>
    <w:p w14:paraId="3D89D9DE" w14:textId="77777777" w:rsidR="00244C5A" w:rsidRDefault="00244C5A" w:rsidP="000D47EC">
      <w:pPr>
        <w:pStyle w:val="PolicyHeading1"/>
      </w:pPr>
      <w:bookmarkStart w:id="17" w:name="_Toc311535097"/>
      <w:bookmarkStart w:id="18" w:name="_Toc321227922"/>
      <w:bookmarkStart w:id="19" w:name="_Toc321228190"/>
      <w:bookmarkStart w:id="20" w:name="_Toc321228363"/>
      <w:bookmarkStart w:id="21" w:name="_Toc321228988"/>
      <w:bookmarkStart w:id="22" w:name="_Toc323630328"/>
      <w:bookmarkStart w:id="23" w:name="_Toc323630370"/>
      <w:bookmarkStart w:id="24" w:name="_Toc323630450"/>
      <w:bookmarkStart w:id="25" w:name="_Toc335216530"/>
      <w:bookmarkStart w:id="26" w:name="_Toc335217361"/>
      <w:bookmarkStart w:id="27" w:name="_Toc335217997"/>
      <w:bookmarkStart w:id="28" w:name="_Toc336507814"/>
      <w:bookmarkStart w:id="29" w:name="_Toc338250693"/>
      <w:r w:rsidRPr="000D47EC">
        <w:t>POLICY DETAILS</w:t>
      </w:r>
      <w:bookmarkEnd w:id="17"/>
      <w:bookmarkEnd w:id="18"/>
      <w:bookmarkEnd w:id="19"/>
      <w:bookmarkEnd w:id="20"/>
      <w:bookmarkEnd w:id="21"/>
      <w:bookmarkEnd w:id="22"/>
      <w:bookmarkEnd w:id="23"/>
      <w:bookmarkEnd w:id="24"/>
      <w:bookmarkEnd w:id="25"/>
      <w:bookmarkEnd w:id="26"/>
      <w:bookmarkEnd w:id="27"/>
      <w:bookmarkEnd w:id="28"/>
      <w:bookmarkEnd w:id="29"/>
    </w:p>
    <w:p w14:paraId="6C77F968" w14:textId="5974F28C" w:rsidR="000B5F8C" w:rsidRPr="007A3755" w:rsidRDefault="000B5F8C" w:rsidP="00750AA5">
      <w:pPr>
        <w:pStyle w:val="Policybodytext"/>
      </w:pPr>
      <w:r w:rsidRPr="007A3755">
        <w:t xml:space="preserve">The following </w:t>
      </w:r>
      <w:r w:rsidR="00104A8E">
        <w:t>criteri</w:t>
      </w:r>
      <w:r w:rsidR="0083761A">
        <w:t>a</w:t>
      </w:r>
      <w:r w:rsidR="00104A8E">
        <w:t xml:space="preserve"> applies</w:t>
      </w:r>
      <w:r w:rsidRPr="007A3755">
        <w:t xml:space="preserve"> to the leasing or allocation of </w:t>
      </w:r>
      <w:r w:rsidR="004373CF" w:rsidRPr="007A3755">
        <w:t>M</w:t>
      </w:r>
      <w:r w:rsidR="004373CF">
        <w:t>erri-bek</w:t>
      </w:r>
      <w:r w:rsidR="0083761A">
        <w:t xml:space="preserve"> City Council </w:t>
      </w:r>
      <w:r w:rsidRPr="007A3755">
        <w:t>sporting facilities, grounds and pavilions:</w:t>
      </w:r>
    </w:p>
    <w:p w14:paraId="51A7E9DD" w14:textId="77777777" w:rsidR="00506F47" w:rsidRPr="000D47EC" w:rsidRDefault="000B5F8C" w:rsidP="000D47EC">
      <w:pPr>
        <w:pStyle w:val="PolicyHeading2"/>
        <w:rPr>
          <w:i/>
        </w:rPr>
      </w:pPr>
      <w:r>
        <w:t>State Sporting Association registration</w:t>
      </w:r>
    </w:p>
    <w:p w14:paraId="31C3B075" w14:textId="77777777" w:rsidR="004D1CA0" w:rsidRPr="007A3755" w:rsidRDefault="000B5F8C" w:rsidP="00750AA5">
      <w:pPr>
        <w:pStyle w:val="Policybodytext"/>
      </w:pPr>
      <w:bookmarkStart w:id="30" w:name="_Toc316047152"/>
      <w:bookmarkStart w:id="31" w:name="_Toc321227923"/>
      <w:bookmarkStart w:id="32" w:name="_Toc321228191"/>
      <w:bookmarkStart w:id="33" w:name="_Toc321228364"/>
      <w:bookmarkStart w:id="34" w:name="_Toc321228989"/>
      <w:r w:rsidRPr="007A3755">
        <w:t>Facilities will only be allocated to clubs that are registered with the appropriate State Sporting Association</w:t>
      </w:r>
      <w:r w:rsidR="004D1CA0" w:rsidRPr="007A3755">
        <w:t>.</w:t>
      </w:r>
      <w:r w:rsidRPr="007A3755">
        <w:t xml:space="preserve"> </w:t>
      </w:r>
      <w:bookmarkStart w:id="35" w:name="_Toc311535098"/>
      <w:bookmarkStart w:id="36" w:name="_Toc321227926"/>
      <w:bookmarkStart w:id="37" w:name="_Toc321228194"/>
      <w:bookmarkStart w:id="38" w:name="_Toc321228367"/>
      <w:bookmarkStart w:id="39" w:name="_Toc321228991"/>
      <w:bookmarkStart w:id="40" w:name="_Toc323630331"/>
      <w:bookmarkStart w:id="41" w:name="_Toc323630373"/>
      <w:bookmarkStart w:id="42" w:name="_Toc323630453"/>
      <w:bookmarkStart w:id="43" w:name="_Toc335216533"/>
      <w:bookmarkStart w:id="44" w:name="_Toc335217364"/>
      <w:bookmarkStart w:id="45" w:name="_Toc335218000"/>
      <w:bookmarkStart w:id="46" w:name="_Toc336507817"/>
      <w:bookmarkStart w:id="47" w:name="_Toc338250696"/>
      <w:bookmarkEnd w:id="30"/>
      <w:bookmarkEnd w:id="31"/>
      <w:bookmarkEnd w:id="32"/>
      <w:bookmarkEnd w:id="33"/>
      <w:bookmarkEnd w:id="34"/>
    </w:p>
    <w:p w14:paraId="3B5544EE" w14:textId="77777777" w:rsidR="004D1CA0" w:rsidRPr="000D47EC" w:rsidRDefault="004D1CA0" w:rsidP="004D1CA0">
      <w:pPr>
        <w:pStyle w:val="PolicyHeading2"/>
        <w:rPr>
          <w:i/>
        </w:rPr>
      </w:pPr>
      <w:r>
        <w:t>Sound governance structure</w:t>
      </w:r>
    </w:p>
    <w:p w14:paraId="514242CA" w14:textId="77777777" w:rsidR="004D1CA0" w:rsidRPr="007A3755" w:rsidRDefault="004D1CA0" w:rsidP="00750AA5">
      <w:pPr>
        <w:pStyle w:val="Policybodytext"/>
      </w:pPr>
      <w:r w:rsidRPr="007A3755">
        <w:t>Facilities will only be allocated to clubs that have sound governance structures in place and have elected committees.</w:t>
      </w:r>
    </w:p>
    <w:p w14:paraId="76092189" w14:textId="77777777" w:rsidR="004D1CA0" w:rsidRPr="000D47EC" w:rsidRDefault="004D1CA0" w:rsidP="004D1CA0">
      <w:pPr>
        <w:pStyle w:val="PolicyHeading2"/>
        <w:rPr>
          <w:i/>
        </w:rPr>
      </w:pPr>
      <w:r w:rsidRPr="000B5F8C">
        <w:t xml:space="preserve"> </w:t>
      </w:r>
      <w:r>
        <w:t>Open membership</w:t>
      </w:r>
    </w:p>
    <w:p w14:paraId="57588306" w14:textId="77777777" w:rsidR="004D1CA0" w:rsidRPr="007A3755" w:rsidRDefault="004D1CA0" w:rsidP="00750AA5">
      <w:pPr>
        <w:pStyle w:val="Policybodytext"/>
      </w:pPr>
      <w:r w:rsidRPr="007A3755">
        <w:t>Facilities will only be allocated to clubs that demonstrate open membership for men, women and juniors, and a demonstrated commitment to social responsibility.</w:t>
      </w:r>
    </w:p>
    <w:p w14:paraId="79A75990" w14:textId="77777777" w:rsidR="004D1CA0" w:rsidRPr="000D47EC" w:rsidRDefault="004D1CA0" w:rsidP="004D1CA0">
      <w:pPr>
        <w:pStyle w:val="PolicyHeading2"/>
        <w:rPr>
          <w:i/>
        </w:rPr>
      </w:pPr>
      <w:r>
        <w:t>Council’s Club Development Initiatives</w:t>
      </w:r>
    </w:p>
    <w:p w14:paraId="2423E818" w14:textId="77777777" w:rsidR="004D1CA0" w:rsidRPr="007A3755" w:rsidRDefault="004D1CA0" w:rsidP="00750AA5">
      <w:pPr>
        <w:pStyle w:val="Policybodytext"/>
      </w:pPr>
      <w:r w:rsidRPr="007A3755">
        <w:t xml:space="preserve">Facilities will only be allocated to clubs that participate in </w:t>
      </w:r>
      <w:r w:rsidR="0083761A">
        <w:t xml:space="preserve">all </w:t>
      </w:r>
      <w:r w:rsidRPr="007A3755">
        <w:t xml:space="preserve">Club Development Initiative programs/workshops offered by Council. </w:t>
      </w:r>
    </w:p>
    <w:p w14:paraId="108BA116" w14:textId="77777777" w:rsidR="004D1CA0" w:rsidRPr="000D47EC" w:rsidRDefault="004D1CA0" w:rsidP="004D1CA0">
      <w:pPr>
        <w:pStyle w:val="PolicyHeading2"/>
        <w:rPr>
          <w:i/>
        </w:rPr>
      </w:pPr>
      <w:r>
        <w:t>Club name</w:t>
      </w:r>
    </w:p>
    <w:p w14:paraId="57AF7D97" w14:textId="1DA7C7BA" w:rsidR="004D1CA0" w:rsidRPr="007A3755" w:rsidRDefault="00215E62" w:rsidP="00750AA5">
      <w:pPr>
        <w:pStyle w:val="Policybodytext"/>
      </w:pPr>
      <w:r w:rsidRPr="007A3755">
        <w:t>Facilities will only be allocated to clubs whereby th</w:t>
      </w:r>
      <w:r w:rsidR="004D1CA0" w:rsidRPr="007A3755">
        <w:t xml:space="preserve">e club’s name </w:t>
      </w:r>
      <w:r w:rsidRPr="007A3755">
        <w:t>is</w:t>
      </w:r>
      <w:r w:rsidR="004D1CA0" w:rsidRPr="007A3755">
        <w:t xml:space="preserve"> be representative of the </w:t>
      </w:r>
      <w:r w:rsidR="004373CF" w:rsidRPr="007A3755">
        <w:t>M</w:t>
      </w:r>
      <w:r w:rsidR="004373CF">
        <w:t>erri-bek</w:t>
      </w:r>
      <w:r w:rsidR="004D1CA0" w:rsidRPr="007A3755">
        <w:t xml:space="preserve"> geographic area within which the </w:t>
      </w:r>
      <w:r w:rsidRPr="007A3755">
        <w:t>c</w:t>
      </w:r>
      <w:r w:rsidR="004D1CA0" w:rsidRPr="007A3755">
        <w:t>lub is located, and shall not make any reference to any ethnic name, slogan, sponsor or business. In addition, the ‘name’ shall not contain initials of any type that can be interpreted as non-representative of the geographic area.</w:t>
      </w:r>
    </w:p>
    <w:p w14:paraId="0271F754" w14:textId="77777777" w:rsidR="00C15E9F" w:rsidRPr="000D47EC" w:rsidRDefault="00C15E9F" w:rsidP="00C15E9F">
      <w:pPr>
        <w:pStyle w:val="PolicyHeading2"/>
        <w:spacing w:after="240"/>
        <w:rPr>
          <w:i/>
        </w:rPr>
      </w:pPr>
      <w:r>
        <w:lastRenderedPageBreak/>
        <w:t>Policy and strategy development</w:t>
      </w:r>
    </w:p>
    <w:p w14:paraId="692A1373" w14:textId="77777777" w:rsidR="00C15E9F" w:rsidRPr="007A3755" w:rsidRDefault="00C15E9F" w:rsidP="00750AA5">
      <w:pPr>
        <w:pStyle w:val="Policybodytext"/>
      </w:pPr>
      <w:r w:rsidRPr="007A3755">
        <w:t>Facilities will only be allocated to clubs that develop and demonstrate policies and strategies to increase the participation, general health and wellbeing of juniors, girls and women.</w:t>
      </w:r>
    </w:p>
    <w:p w14:paraId="0E391CFE" w14:textId="77777777" w:rsidR="00215E62" w:rsidRPr="000D47EC" w:rsidRDefault="00215E62" w:rsidP="00215E62">
      <w:pPr>
        <w:pStyle w:val="PolicyHeading2"/>
        <w:rPr>
          <w:i/>
        </w:rPr>
      </w:pPr>
      <w:r>
        <w:t xml:space="preserve">Program development to increase participation </w:t>
      </w:r>
      <w:r w:rsidRPr="004D1CA0">
        <w:t>in sport, r</w:t>
      </w:r>
      <w:r w:rsidR="006E7734">
        <w:t>ecreation and physical activity</w:t>
      </w:r>
    </w:p>
    <w:p w14:paraId="4019EA34" w14:textId="77777777" w:rsidR="00215E62" w:rsidRPr="007A3755" w:rsidRDefault="00215E62" w:rsidP="00750AA5">
      <w:pPr>
        <w:pStyle w:val="Policybodytext"/>
      </w:pPr>
      <w:r w:rsidRPr="007A3755">
        <w:t>Facilities will only be allocated to clubs that provide programs that increase the participation, general health and wellbeing of juniors, girls and women by:</w:t>
      </w:r>
    </w:p>
    <w:p w14:paraId="3D3AB3FE" w14:textId="77777777" w:rsidR="00215E62" w:rsidRPr="00215E62" w:rsidRDefault="00215E62" w:rsidP="00750AA5">
      <w:pPr>
        <w:pStyle w:val="PolicyBulletPoint"/>
      </w:pPr>
      <w:r w:rsidRPr="00215E62">
        <w:t>Increasing participation in sport, r</w:t>
      </w:r>
      <w:r w:rsidR="00F80543">
        <w:t>ecreation and physical activity;</w:t>
      </w:r>
    </w:p>
    <w:p w14:paraId="1017EEB8" w14:textId="77777777" w:rsidR="00215E62" w:rsidRPr="00215E62" w:rsidRDefault="00215E62" w:rsidP="00750AA5">
      <w:pPr>
        <w:pStyle w:val="PolicyBulletPoint"/>
      </w:pPr>
      <w:r w:rsidRPr="00215E62">
        <w:t>Ensuring that the values, needs and aspirations of women and girls from all backgrounds and circumstances are taken into account</w:t>
      </w:r>
      <w:r w:rsidR="00F80543">
        <w:t>;</w:t>
      </w:r>
    </w:p>
    <w:p w14:paraId="012DBB59" w14:textId="77777777" w:rsidR="00215E62" w:rsidRPr="00215E62" w:rsidRDefault="00215E62" w:rsidP="00750AA5">
      <w:pPr>
        <w:pStyle w:val="PolicyBulletPoint"/>
      </w:pPr>
      <w:r w:rsidRPr="00215E62">
        <w:t>Increasing the number of female coaches, instructors, decision makers, officials and administrators at all levels</w:t>
      </w:r>
      <w:r w:rsidR="00F80543">
        <w:t>;</w:t>
      </w:r>
      <w:r w:rsidRPr="00215E62">
        <w:t xml:space="preserve"> and</w:t>
      </w:r>
    </w:p>
    <w:p w14:paraId="52790924" w14:textId="77777777" w:rsidR="00215E62" w:rsidRDefault="00215E62" w:rsidP="00750AA5">
      <w:pPr>
        <w:pStyle w:val="PolicyBulletPoint"/>
      </w:pPr>
      <w:r w:rsidRPr="00215E62">
        <w:t>Giving special attention to the recruitment, development and retention of women and girls in decision making and leadership roles.</w:t>
      </w:r>
    </w:p>
    <w:p w14:paraId="086092AF" w14:textId="77777777" w:rsidR="00215E62" w:rsidRPr="007A3755" w:rsidRDefault="00215E62" w:rsidP="00750AA5">
      <w:pPr>
        <w:pStyle w:val="Policybodytext"/>
      </w:pPr>
      <w:r w:rsidRPr="003A27FA">
        <w:t xml:space="preserve">From </w:t>
      </w:r>
      <w:r w:rsidR="00DE6A32">
        <w:t>March</w:t>
      </w:r>
      <w:r w:rsidRPr="003A27FA">
        <w:t xml:space="preserve"> 2016,</w:t>
      </w:r>
      <w:r w:rsidRPr="007A3755">
        <w:t xml:space="preserve"> leasing and allocation of Council facilities will only be provided to clubs</w:t>
      </w:r>
      <w:r w:rsidR="00C15E9F" w:rsidRPr="007A3755">
        <w:t xml:space="preserve"> whose membership provides</w:t>
      </w:r>
      <w:r w:rsidR="0063352B">
        <w:t xml:space="preserve"> the following in their respective sporting codes</w:t>
      </w:r>
      <w:r w:rsidRPr="007A3755">
        <w:t>:</w:t>
      </w:r>
    </w:p>
    <w:p w14:paraId="7BE7F207" w14:textId="77777777" w:rsidR="00215E62" w:rsidRPr="00215E62" w:rsidRDefault="00215E62" w:rsidP="00750AA5">
      <w:pPr>
        <w:pStyle w:val="PolicyBulletPoint"/>
      </w:pPr>
      <w:r w:rsidRPr="00215E62">
        <w:t xml:space="preserve">Junior </w:t>
      </w:r>
      <w:r w:rsidR="00F80543">
        <w:t>teams/sides;</w:t>
      </w:r>
    </w:p>
    <w:p w14:paraId="0C3CE810" w14:textId="77777777" w:rsidR="003A27FA" w:rsidRDefault="003A27FA" w:rsidP="00750AA5">
      <w:pPr>
        <w:pStyle w:val="PolicyBulletPoint"/>
      </w:pPr>
      <w:r>
        <w:t>Female teams/</w:t>
      </w:r>
      <w:r w:rsidR="00215E62">
        <w:t>sides</w:t>
      </w:r>
      <w:r w:rsidR="00F80543">
        <w:t>;</w:t>
      </w:r>
    </w:p>
    <w:p w14:paraId="179F687C" w14:textId="77777777" w:rsidR="004D1CA0" w:rsidRDefault="00215E62" w:rsidP="00750AA5">
      <w:pPr>
        <w:pStyle w:val="PolicyBulletPoint"/>
      </w:pPr>
      <w:r w:rsidRPr="00215E62">
        <w:t>registered sport association development programs</w:t>
      </w:r>
      <w:r w:rsidR="00F80543">
        <w:t>;</w:t>
      </w:r>
      <w:r w:rsidR="00DE6A32">
        <w:t xml:space="preserve"> and</w:t>
      </w:r>
    </w:p>
    <w:p w14:paraId="59781923" w14:textId="77777777" w:rsidR="00DE6A32" w:rsidRDefault="00104A8E" w:rsidP="00750AA5">
      <w:pPr>
        <w:pStyle w:val="PolicyBulletPoint"/>
      </w:pPr>
      <w:r>
        <w:t>Female</w:t>
      </w:r>
      <w:r w:rsidR="00DE6A32">
        <w:t xml:space="preserve"> representation on club committee and/or board.</w:t>
      </w:r>
    </w:p>
    <w:p w14:paraId="6F69477A" w14:textId="77777777" w:rsidR="00215E62" w:rsidRPr="007A3755" w:rsidRDefault="00215E62" w:rsidP="00750AA5">
      <w:pPr>
        <w:pStyle w:val="Policybodytext"/>
      </w:pPr>
      <w:r w:rsidRPr="007A3755">
        <w:t>Priority leas</w:t>
      </w:r>
      <w:r w:rsidR="00104A8E">
        <w:t>ing</w:t>
      </w:r>
      <w:r w:rsidRPr="007A3755">
        <w:t xml:space="preserve"> and allocation of facilities will be </w:t>
      </w:r>
      <w:r w:rsidR="00104A8E">
        <w:t>given</w:t>
      </w:r>
      <w:r w:rsidRPr="007A3755">
        <w:t xml:space="preserve"> to clubs that:</w:t>
      </w:r>
    </w:p>
    <w:p w14:paraId="34E80583" w14:textId="77777777" w:rsidR="00104A8E" w:rsidRPr="00104A8E" w:rsidRDefault="00F80543" w:rsidP="00750AA5">
      <w:pPr>
        <w:pStyle w:val="PolicyBulletPoint"/>
      </w:pPr>
      <w:r>
        <w:t>A</w:t>
      </w:r>
      <w:r w:rsidR="00104A8E">
        <w:t xml:space="preserve">re </w:t>
      </w:r>
      <w:r w:rsidR="00104A8E" w:rsidRPr="00104A8E">
        <w:t>inclusive of people with disabilities, and actively support juniors, females and people from culturally and linguistically diverse backgrounds (CALD) to participate in recreatio</w:t>
      </w:r>
      <w:r>
        <w:t>n;</w:t>
      </w:r>
    </w:p>
    <w:p w14:paraId="44284589" w14:textId="2140E1A2" w:rsidR="00215E62" w:rsidRPr="00215E62" w:rsidRDefault="00104A8E" w:rsidP="00750AA5">
      <w:pPr>
        <w:pStyle w:val="PolicyBulletPoint"/>
      </w:pPr>
      <w:r>
        <w:t>Demonstrated participation by</w:t>
      </w:r>
      <w:r w:rsidR="00215E62" w:rsidRPr="00215E62">
        <w:t xml:space="preserve"> </w:t>
      </w:r>
      <w:r w:rsidR="004373CF" w:rsidRPr="007A3755">
        <w:t>M</w:t>
      </w:r>
      <w:r w:rsidR="004373CF">
        <w:t>erri-bek</w:t>
      </w:r>
      <w:r w:rsidR="00215E62" w:rsidRPr="00215E62">
        <w:t xml:space="preserve"> residents</w:t>
      </w:r>
      <w:r w:rsidR="00F80543">
        <w:t>;</w:t>
      </w:r>
    </w:p>
    <w:p w14:paraId="58007588" w14:textId="77777777" w:rsidR="00215E62" w:rsidRPr="00215E62" w:rsidRDefault="00215E62" w:rsidP="00750AA5">
      <w:pPr>
        <w:pStyle w:val="PolicyBulletPoint"/>
      </w:pPr>
      <w:r w:rsidRPr="00215E62">
        <w:t>Comply with all previous occupancy requirements</w:t>
      </w:r>
      <w:r w:rsidR="00F80543">
        <w:t xml:space="preserve">; </w:t>
      </w:r>
      <w:r w:rsidR="007A3755">
        <w:t>and</w:t>
      </w:r>
    </w:p>
    <w:p w14:paraId="24A9B74D" w14:textId="77777777" w:rsidR="00215E62" w:rsidRDefault="00215E62" w:rsidP="00750AA5">
      <w:pPr>
        <w:pStyle w:val="PolicyBulletPoint"/>
      </w:pPr>
      <w:r w:rsidRPr="00215E62">
        <w:t>Complete significant capital works to the satisfaction of Council.</w:t>
      </w:r>
    </w:p>
    <w:p w14:paraId="1DE9D719" w14:textId="77777777" w:rsidR="00C92106" w:rsidRPr="00750AA5" w:rsidRDefault="00244C5A" w:rsidP="00C92106">
      <w:pPr>
        <w:pStyle w:val="PolicyHeading1"/>
      </w:pPr>
      <w:r w:rsidRPr="000D47EC">
        <w:t>ROLES AND RESPONSIBILITIES</w:t>
      </w:r>
      <w:bookmarkEnd w:id="35"/>
      <w:bookmarkEnd w:id="36"/>
      <w:bookmarkEnd w:id="37"/>
      <w:bookmarkEnd w:id="38"/>
      <w:bookmarkEnd w:id="39"/>
      <w:bookmarkEnd w:id="40"/>
      <w:bookmarkEnd w:id="41"/>
      <w:bookmarkEnd w:id="42"/>
      <w:bookmarkEnd w:id="43"/>
      <w:bookmarkEnd w:id="44"/>
      <w:bookmarkEnd w:id="45"/>
      <w:bookmarkEnd w:id="46"/>
      <w:bookmarkEnd w:id="47"/>
    </w:p>
    <w:tbl>
      <w:tblPr>
        <w:tblW w:w="8789" w:type="dxa"/>
        <w:tblInd w:w="108" w:type="dxa"/>
        <w:tblLook w:val="01E0" w:firstRow="1" w:lastRow="1" w:firstColumn="1" w:lastColumn="1" w:noHBand="0" w:noVBand="0"/>
      </w:tblPr>
      <w:tblGrid>
        <w:gridCol w:w="2559"/>
        <w:gridCol w:w="3216"/>
        <w:gridCol w:w="3014"/>
      </w:tblGrid>
      <w:tr w:rsidR="00DB1423" w:rsidRPr="000D47EC" w14:paraId="3C323F94" w14:textId="77777777" w:rsidTr="000B5F8C">
        <w:trPr>
          <w:trHeight w:val="441"/>
        </w:trPr>
        <w:tc>
          <w:tcPr>
            <w:tcW w:w="2559" w:type="dxa"/>
            <w:tcBorders>
              <w:top w:val="single" w:sz="12" w:space="0" w:color="000000"/>
              <w:bottom w:val="single" w:sz="6" w:space="0" w:color="000000"/>
            </w:tcBorders>
            <w:vAlign w:val="center"/>
          </w:tcPr>
          <w:p w14:paraId="2EED908E" w14:textId="77777777" w:rsidR="00DB1423" w:rsidRPr="000D47EC" w:rsidRDefault="00EC4DB3" w:rsidP="000B5F8C">
            <w:pPr>
              <w:rPr>
                <w:rFonts w:ascii="Arial" w:hAnsi="Arial" w:cs="Arial"/>
                <w:b/>
                <w:sz w:val="22"/>
                <w:szCs w:val="22"/>
              </w:rPr>
            </w:pPr>
            <w:r w:rsidRPr="000D47EC">
              <w:rPr>
                <w:rFonts w:ascii="Arial" w:hAnsi="Arial" w:cs="Arial"/>
                <w:b/>
                <w:sz w:val="22"/>
                <w:szCs w:val="22"/>
              </w:rPr>
              <w:t>Party/p</w:t>
            </w:r>
            <w:r w:rsidR="00DB1423" w:rsidRPr="000D47EC">
              <w:rPr>
                <w:rFonts w:ascii="Arial" w:hAnsi="Arial" w:cs="Arial"/>
                <w:b/>
                <w:sz w:val="22"/>
                <w:szCs w:val="22"/>
              </w:rPr>
              <w:t>arties</w:t>
            </w:r>
          </w:p>
        </w:tc>
        <w:tc>
          <w:tcPr>
            <w:tcW w:w="3216" w:type="dxa"/>
            <w:tcBorders>
              <w:top w:val="single" w:sz="12" w:space="0" w:color="000000"/>
              <w:bottom w:val="single" w:sz="6" w:space="0" w:color="000000"/>
            </w:tcBorders>
            <w:vAlign w:val="center"/>
          </w:tcPr>
          <w:p w14:paraId="6ACF7372" w14:textId="77777777" w:rsidR="00DB1423" w:rsidRPr="000D47EC" w:rsidRDefault="00DB1423" w:rsidP="000B5F8C">
            <w:pPr>
              <w:pStyle w:val="CM47"/>
              <w:widowControl/>
              <w:autoSpaceDE/>
              <w:autoSpaceDN/>
              <w:adjustRightInd/>
              <w:spacing w:after="0"/>
              <w:rPr>
                <w:rFonts w:cs="Arial"/>
                <w:sz w:val="16"/>
                <w:szCs w:val="16"/>
              </w:rPr>
            </w:pPr>
            <w:r w:rsidRPr="000D47EC">
              <w:rPr>
                <w:rFonts w:cs="Arial"/>
                <w:b/>
                <w:bCs/>
                <w:sz w:val="22"/>
                <w:szCs w:val="22"/>
              </w:rPr>
              <w:t>Roles and responsibilities</w:t>
            </w:r>
          </w:p>
        </w:tc>
        <w:tc>
          <w:tcPr>
            <w:tcW w:w="3014" w:type="dxa"/>
            <w:tcBorders>
              <w:top w:val="single" w:sz="12" w:space="0" w:color="000000"/>
              <w:bottom w:val="single" w:sz="6" w:space="0" w:color="000000"/>
            </w:tcBorders>
            <w:vAlign w:val="center"/>
          </w:tcPr>
          <w:p w14:paraId="338CD0C7" w14:textId="77777777" w:rsidR="00DB1423" w:rsidRPr="000D47EC" w:rsidRDefault="00DB1423" w:rsidP="000B5F8C">
            <w:pPr>
              <w:pStyle w:val="CM47"/>
              <w:widowControl/>
              <w:autoSpaceDE/>
              <w:autoSpaceDN/>
              <w:adjustRightInd/>
              <w:spacing w:after="0"/>
              <w:rPr>
                <w:rFonts w:cs="Arial"/>
                <w:b/>
                <w:bCs/>
                <w:sz w:val="22"/>
                <w:szCs w:val="22"/>
              </w:rPr>
            </w:pPr>
            <w:r w:rsidRPr="000D47EC">
              <w:rPr>
                <w:rFonts w:cs="Arial"/>
                <w:b/>
                <w:bCs/>
                <w:sz w:val="22"/>
                <w:szCs w:val="22"/>
              </w:rPr>
              <w:t>Timelines</w:t>
            </w:r>
          </w:p>
        </w:tc>
      </w:tr>
      <w:tr w:rsidR="00DB1423" w:rsidRPr="000D47EC" w14:paraId="6DC90811" w14:textId="77777777" w:rsidTr="00675ADC">
        <w:trPr>
          <w:trHeight w:val="275"/>
        </w:trPr>
        <w:tc>
          <w:tcPr>
            <w:tcW w:w="2559" w:type="dxa"/>
            <w:tcBorders>
              <w:top w:val="single" w:sz="6" w:space="0" w:color="000000"/>
              <w:bottom w:val="single" w:sz="6" w:space="0" w:color="000000"/>
            </w:tcBorders>
          </w:tcPr>
          <w:p w14:paraId="6EBDF012" w14:textId="77777777" w:rsidR="00DB1423" w:rsidRPr="000D47EC" w:rsidRDefault="00037EC2" w:rsidP="00EC4DB3">
            <w:pPr>
              <w:pStyle w:val="PolicyTabletext"/>
            </w:pPr>
            <w:r>
              <w:t>Recreation Services</w:t>
            </w:r>
          </w:p>
        </w:tc>
        <w:tc>
          <w:tcPr>
            <w:tcW w:w="3216" w:type="dxa"/>
            <w:tcBorders>
              <w:top w:val="single" w:sz="6" w:space="0" w:color="000000"/>
              <w:bottom w:val="single" w:sz="6" w:space="0" w:color="000000"/>
            </w:tcBorders>
          </w:tcPr>
          <w:p w14:paraId="07AFE48B" w14:textId="77777777" w:rsidR="00DB1423" w:rsidRPr="000D47EC" w:rsidRDefault="00675ADC" w:rsidP="003A27FA">
            <w:pPr>
              <w:pStyle w:val="PolicyTabletext"/>
            </w:pPr>
            <w:r>
              <w:t>Management of seasonal and annual tenancy applications</w:t>
            </w:r>
          </w:p>
        </w:tc>
        <w:tc>
          <w:tcPr>
            <w:tcW w:w="3014" w:type="dxa"/>
            <w:tcBorders>
              <w:top w:val="single" w:sz="6" w:space="0" w:color="000000"/>
              <w:bottom w:val="single" w:sz="6" w:space="0" w:color="000000"/>
            </w:tcBorders>
          </w:tcPr>
          <w:p w14:paraId="01DF61AC" w14:textId="77777777" w:rsidR="00DB1423" w:rsidRPr="003A27FA" w:rsidRDefault="007A3755" w:rsidP="00EC4DB3">
            <w:pPr>
              <w:pStyle w:val="PolicyTabletext"/>
            </w:pPr>
            <w:r w:rsidRPr="003A27FA">
              <w:t xml:space="preserve">January </w:t>
            </w:r>
          </w:p>
          <w:p w14:paraId="71B2A74C" w14:textId="77777777" w:rsidR="007201B7" w:rsidRPr="007201B7" w:rsidRDefault="007201B7" w:rsidP="007201B7">
            <w:pPr>
              <w:pStyle w:val="PolicyTabletext"/>
            </w:pPr>
            <w:r w:rsidRPr="003A27FA">
              <w:t>August</w:t>
            </w:r>
          </w:p>
        </w:tc>
      </w:tr>
      <w:tr w:rsidR="00675ADC" w:rsidRPr="000D47EC" w14:paraId="76ADF770" w14:textId="77777777" w:rsidTr="007854F9">
        <w:trPr>
          <w:trHeight w:val="275"/>
        </w:trPr>
        <w:tc>
          <w:tcPr>
            <w:tcW w:w="2559" w:type="dxa"/>
            <w:tcBorders>
              <w:top w:val="single" w:sz="6" w:space="0" w:color="000000"/>
              <w:bottom w:val="single" w:sz="12" w:space="0" w:color="000000"/>
            </w:tcBorders>
          </w:tcPr>
          <w:p w14:paraId="544775E0" w14:textId="77777777" w:rsidR="00675ADC" w:rsidRDefault="00675ADC" w:rsidP="00EC4DB3">
            <w:pPr>
              <w:pStyle w:val="PolicyTabletext"/>
            </w:pPr>
            <w:r>
              <w:t>Property Services</w:t>
            </w:r>
          </w:p>
        </w:tc>
        <w:tc>
          <w:tcPr>
            <w:tcW w:w="3216" w:type="dxa"/>
            <w:tcBorders>
              <w:top w:val="single" w:sz="6" w:space="0" w:color="000000"/>
              <w:bottom w:val="single" w:sz="12" w:space="0" w:color="000000"/>
            </w:tcBorders>
          </w:tcPr>
          <w:p w14:paraId="5481FC66" w14:textId="77777777" w:rsidR="00315433" w:rsidRPr="00315433" w:rsidRDefault="006140A8" w:rsidP="00AF6FEB">
            <w:pPr>
              <w:pStyle w:val="PolicyTabletext"/>
            </w:pPr>
            <w:r w:rsidRPr="00C750E3">
              <w:t>Administ</w:t>
            </w:r>
            <w:r>
              <w:t xml:space="preserve">ration </w:t>
            </w:r>
            <w:r w:rsidRPr="00C750E3">
              <w:t>and Manag</w:t>
            </w:r>
            <w:r>
              <w:t xml:space="preserve">ement </w:t>
            </w:r>
            <w:r w:rsidR="00AF6FEB">
              <w:t xml:space="preserve"> of </w:t>
            </w:r>
            <w:r w:rsidRPr="00C750E3">
              <w:t xml:space="preserve">leases and licences  </w:t>
            </w:r>
          </w:p>
        </w:tc>
        <w:tc>
          <w:tcPr>
            <w:tcW w:w="3014" w:type="dxa"/>
            <w:tcBorders>
              <w:top w:val="single" w:sz="6" w:space="0" w:color="000000"/>
              <w:bottom w:val="single" w:sz="12" w:space="0" w:color="000000"/>
            </w:tcBorders>
          </w:tcPr>
          <w:p w14:paraId="19BCAFB8" w14:textId="77777777" w:rsidR="00675ADC" w:rsidRPr="000D47EC" w:rsidRDefault="00AF6FEB" w:rsidP="00EC4DB3">
            <w:pPr>
              <w:pStyle w:val="PolicyTabletext"/>
            </w:pPr>
            <w:r>
              <w:t>Ongoing</w:t>
            </w:r>
          </w:p>
        </w:tc>
      </w:tr>
    </w:tbl>
    <w:p w14:paraId="0AFA7C7A" w14:textId="77777777" w:rsidR="006849DD" w:rsidRPr="000D47EC" w:rsidRDefault="003737B5" w:rsidP="006E7734">
      <w:pPr>
        <w:pStyle w:val="Heading1"/>
        <w:rPr>
          <w:rFonts w:ascii="Arial" w:hAnsi="Arial" w:cs="Arial"/>
          <w:sz w:val="26"/>
          <w:szCs w:val="26"/>
        </w:rPr>
      </w:pPr>
      <w:bookmarkStart w:id="48" w:name="_Toc338250697"/>
      <w:r w:rsidRPr="000D47EC">
        <w:rPr>
          <w:rFonts w:ascii="Arial" w:hAnsi="Arial" w:cs="Arial"/>
          <w:sz w:val="26"/>
          <w:szCs w:val="26"/>
        </w:rPr>
        <w:lastRenderedPageBreak/>
        <w:t>MONITORING, EVALUATION AND</w:t>
      </w:r>
      <w:r w:rsidR="006849DD" w:rsidRPr="000D47EC">
        <w:rPr>
          <w:rFonts w:ascii="Arial" w:hAnsi="Arial" w:cs="Arial"/>
          <w:sz w:val="26"/>
          <w:szCs w:val="26"/>
        </w:rPr>
        <w:t xml:space="preserve"> REVIEW</w:t>
      </w:r>
      <w:bookmarkEnd w:id="48"/>
    </w:p>
    <w:p w14:paraId="4686004E" w14:textId="77777777" w:rsidR="00037EC2" w:rsidRPr="007A3755" w:rsidRDefault="00037EC2" w:rsidP="006E7734">
      <w:pPr>
        <w:pStyle w:val="Policybodytext"/>
        <w:keepNext/>
      </w:pPr>
      <w:r w:rsidRPr="007A3755">
        <w:t xml:space="preserve">All applications for facility, ground and pavilion allocations and leases will be assessed by </w:t>
      </w:r>
      <w:r w:rsidR="00315433">
        <w:t>Recreation Services Unit</w:t>
      </w:r>
      <w:r w:rsidRPr="007A3755">
        <w:t xml:space="preserve"> and endorsed by Council.</w:t>
      </w:r>
    </w:p>
    <w:p w14:paraId="1DC67BB7" w14:textId="77777777" w:rsidR="00037EC2" w:rsidRPr="007A3755" w:rsidRDefault="00037EC2" w:rsidP="006E7734">
      <w:pPr>
        <w:pStyle w:val="Policybodytext"/>
        <w:keepNext/>
      </w:pPr>
      <w:r w:rsidRPr="007A3755">
        <w:t xml:space="preserve">A lease or allocation may be withdrawn by </w:t>
      </w:r>
      <w:r w:rsidR="0083761A">
        <w:t>the Director of Social Development,</w:t>
      </w:r>
      <w:r w:rsidRPr="007A3755">
        <w:t xml:space="preserve"> if a club breaches any principle of </w:t>
      </w:r>
      <w:r w:rsidR="003A27FA">
        <w:t>the Policy</w:t>
      </w:r>
      <w:r w:rsidR="0083761A">
        <w:t>.</w:t>
      </w:r>
    </w:p>
    <w:p w14:paraId="6284EAFA" w14:textId="77777777" w:rsidR="00037EC2" w:rsidRPr="007A3755" w:rsidRDefault="00037EC2" w:rsidP="006E7734">
      <w:pPr>
        <w:pStyle w:val="Policybodytext"/>
        <w:keepNext/>
      </w:pPr>
      <w:r w:rsidRPr="007A3755">
        <w:t>The Allocation and Use of Sporting Facilities, Grounds and Pavilions User Guide will be reviewed prior to the commencement of each allocation period and updated as required.</w:t>
      </w:r>
    </w:p>
    <w:p w14:paraId="20376E4F" w14:textId="77777777" w:rsidR="00C808B6" w:rsidRPr="00C808B6" w:rsidRDefault="00C808B6" w:rsidP="00750AA5">
      <w:pPr>
        <w:pStyle w:val="Policybodytext"/>
        <w:rPr>
          <w:spacing w:val="-1"/>
        </w:rPr>
      </w:pPr>
      <w:r w:rsidRPr="007A3755">
        <w:t xml:space="preserve">Amendments to the </w:t>
      </w:r>
      <w:r w:rsidR="00315433" w:rsidRPr="007A3755">
        <w:t>Allocation and Use of Sporting Facilities, Grounds and Pavilions</w:t>
      </w:r>
      <w:r w:rsidRPr="007A3755">
        <w:t xml:space="preserve"> User Guide and the Property Leasing Policy may occur</w:t>
      </w:r>
      <w:r w:rsidRPr="00C808B6">
        <w:rPr>
          <w:spacing w:val="-1"/>
        </w:rPr>
        <w:t xml:space="preserve"> </w:t>
      </w:r>
      <w:r w:rsidRPr="007A3755">
        <w:t>throughout the season if:</w:t>
      </w:r>
    </w:p>
    <w:p w14:paraId="098F9F59" w14:textId="77777777" w:rsidR="00C808B6" w:rsidRPr="00C808B6" w:rsidRDefault="00F80543" w:rsidP="00750AA5">
      <w:pPr>
        <w:pStyle w:val="PolicyBulletPoint"/>
      </w:pPr>
      <w:r w:rsidRPr="00C808B6">
        <w:t>L</w:t>
      </w:r>
      <w:r w:rsidR="00C808B6" w:rsidRPr="00C808B6">
        <w:t>egislative requirements alter</w:t>
      </w:r>
      <w:r>
        <w:t>;</w:t>
      </w:r>
    </w:p>
    <w:p w14:paraId="65E0DA38" w14:textId="77777777" w:rsidR="00C808B6" w:rsidRPr="00C808B6" w:rsidRDefault="00F80543" w:rsidP="00750AA5">
      <w:pPr>
        <w:pStyle w:val="PolicyBulletPoint"/>
      </w:pPr>
      <w:r w:rsidRPr="00C808B6">
        <w:t>L</w:t>
      </w:r>
      <w:r w:rsidR="00C808B6" w:rsidRPr="00C808B6">
        <w:t>egal Issues highlight a need for change</w:t>
      </w:r>
      <w:r>
        <w:t>;</w:t>
      </w:r>
    </w:p>
    <w:p w14:paraId="7E207BB8" w14:textId="77777777" w:rsidR="00C808B6" w:rsidRDefault="00F80543" w:rsidP="00750AA5">
      <w:pPr>
        <w:pStyle w:val="PolicyBulletPoint"/>
      </w:pPr>
      <w:r w:rsidRPr="00C808B6">
        <w:t>I</w:t>
      </w:r>
      <w:r w:rsidR="00C808B6" w:rsidRPr="00C808B6">
        <w:t>nsurance and risk management issues arise</w:t>
      </w:r>
      <w:r>
        <w:t>;</w:t>
      </w:r>
      <w:r w:rsidR="007A3755">
        <w:t xml:space="preserve"> and</w:t>
      </w:r>
      <w:r w:rsidR="00C808B6">
        <w:t xml:space="preserve"> </w:t>
      </w:r>
    </w:p>
    <w:p w14:paraId="3F3738D5" w14:textId="581347C5" w:rsidR="007A3755" w:rsidRDefault="004373CF" w:rsidP="00750AA5">
      <w:pPr>
        <w:pStyle w:val="PolicyBulletPoint"/>
      </w:pPr>
      <w:r w:rsidRPr="007A3755">
        <w:t>M</w:t>
      </w:r>
      <w:r>
        <w:t>erri-bek</w:t>
      </w:r>
      <w:r w:rsidRPr="007A3755">
        <w:t xml:space="preserve"> </w:t>
      </w:r>
      <w:r w:rsidR="00C808B6" w:rsidRPr="00C808B6">
        <w:t>City Council policy changes in other departments affect sports ground users</w:t>
      </w:r>
      <w:r w:rsidR="007A3755">
        <w:t>.</w:t>
      </w:r>
    </w:p>
    <w:p w14:paraId="448C07F0" w14:textId="77777777" w:rsidR="00C808B6" w:rsidRPr="007A3755" w:rsidRDefault="00D47E46" w:rsidP="00750AA5">
      <w:pPr>
        <w:pStyle w:val="Policybodytext"/>
        <w:rPr>
          <w:rFonts w:eastAsia="Arial" w:cs="Times New Roman"/>
          <w:spacing w:val="-1"/>
          <w:lang w:val="en-US" w:eastAsia="en-US"/>
        </w:rPr>
      </w:pPr>
      <w:r w:rsidRPr="00315433">
        <w:t>A review of this policy will be undertaken 10 years from its date of authorisation unless otherwise instructed.</w:t>
      </w:r>
    </w:p>
    <w:p w14:paraId="4B1963BE" w14:textId="77777777" w:rsidR="00C92106" w:rsidRPr="00750AA5" w:rsidRDefault="00965BBA" w:rsidP="00C92106">
      <w:pPr>
        <w:pStyle w:val="PolicyHeading1"/>
      </w:pPr>
      <w:bookmarkStart w:id="49" w:name="_Toc311535100"/>
      <w:bookmarkStart w:id="50" w:name="_Toc321227928"/>
      <w:bookmarkStart w:id="51" w:name="_Toc321228196"/>
      <w:bookmarkStart w:id="52" w:name="_Toc321228369"/>
      <w:bookmarkStart w:id="53" w:name="_Toc321228993"/>
      <w:bookmarkStart w:id="54" w:name="_Toc323630333"/>
      <w:bookmarkStart w:id="55" w:name="_Toc323630375"/>
      <w:bookmarkStart w:id="56" w:name="_Toc323630455"/>
      <w:bookmarkStart w:id="57" w:name="_Toc335216535"/>
      <w:bookmarkStart w:id="58" w:name="_Toc335217366"/>
      <w:bookmarkStart w:id="59" w:name="_Toc335218002"/>
      <w:bookmarkStart w:id="60" w:name="_Toc336507818"/>
      <w:bookmarkStart w:id="61" w:name="_Toc338250698"/>
      <w:r w:rsidRPr="000D47EC">
        <w:t>DEFINITIONS</w:t>
      </w:r>
      <w:bookmarkEnd w:id="49"/>
      <w:bookmarkEnd w:id="50"/>
      <w:bookmarkEnd w:id="51"/>
      <w:bookmarkEnd w:id="52"/>
      <w:bookmarkEnd w:id="53"/>
      <w:bookmarkEnd w:id="54"/>
      <w:bookmarkEnd w:id="55"/>
      <w:bookmarkEnd w:id="56"/>
      <w:bookmarkEnd w:id="57"/>
      <w:bookmarkEnd w:id="58"/>
      <w:bookmarkEnd w:id="59"/>
      <w:bookmarkEnd w:id="60"/>
      <w:bookmarkEnd w:id="6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244C5A" w:rsidRPr="000D47EC" w14:paraId="1F0AC4A0" w14:textId="77777777" w:rsidTr="006E7734">
        <w:trPr>
          <w:trHeight w:val="423"/>
          <w:tblHeader/>
        </w:trPr>
        <w:tc>
          <w:tcPr>
            <w:tcW w:w="3544" w:type="dxa"/>
            <w:tcBorders>
              <w:top w:val="single" w:sz="12" w:space="0" w:color="000000"/>
              <w:left w:val="nil"/>
              <w:bottom w:val="single" w:sz="4" w:space="0" w:color="auto"/>
              <w:right w:val="nil"/>
            </w:tcBorders>
            <w:vAlign w:val="center"/>
          </w:tcPr>
          <w:p w14:paraId="28145CE5" w14:textId="77777777" w:rsidR="00244C5A" w:rsidRPr="00750AA5" w:rsidRDefault="00244C5A" w:rsidP="00750AA5">
            <w:pPr>
              <w:pStyle w:val="PolicyTabletext"/>
              <w:rPr>
                <w:b/>
              </w:rPr>
            </w:pPr>
            <w:r w:rsidRPr="00750AA5">
              <w:rPr>
                <w:b/>
              </w:rPr>
              <w:t>Term</w:t>
            </w:r>
          </w:p>
        </w:tc>
        <w:tc>
          <w:tcPr>
            <w:tcW w:w="6095" w:type="dxa"/>
            <w:tcBorders>
              <w:top w:val="single" w:sz="12" w:space="0" w:color="000000"/>
              <w:left w:val="nil"/>
              <w:bottom w:val="single" w:sz="4" w:space="0" w:color="auto"/>
              <w:right w:val="nil"/>
            </w:tcBorders>
            <w:vAlign w:val="center"/>
          </w:tcPr>
          <w:p w14:paraId="303C941C" w14:textId="77777777" w:rsidR="00244C5A" w:rsidRPr="000D47EC" w:rsidRDefault="004E0505" w:rsidP="008B4239">
            <w:pPr>
              <w:pStyle w:val="CM38"/>
              <w:widowControl/>
              <w:autoSpaceDE/>
              <w:autoSpaceDN/>
              <w:adjustRightInd/>
              <w:spacing w:after="0"/>
              <w:rPr>
                <w:rFonts w:cs="Arial"/>
                <w:b/>
                <w:sz w:val="22"/>
                <w:szCs w:val="22"/>
              </w:rPr>
            </w:pPr>
            <w:r w:rsidRPr="000D47EC">
              <w:rPr>
                <w:rFonts w:cs="Arial"/>
                <w:b/>
                <w:sz w:val="22"/>
                <w:szCs w:val="22"/>
              </w:rPr>
              <w:t>Definition</w:t>
            </w:r>
          </w:p>
        </w:tc>
      </w:tr>
      <w:tr w:rsidR="00A46779" w:rsidRPr="000D47EC" w14:paraId="4FB36B27" w14:textId="77777777" w:rsidTr="00F80543">
        <w:trPr>
          <w:trHeight w:val="2461"/>
        </w:trPr>
        <w:tc>
          <w:tcPr>
            <w:tcW w:w="3544" w:type="dxa"/>
            <w:tcBorders>
              <w:top w:val="single" w:sz="6" w:space="0" w:color="auto"/>
              <w:left w:val="nil"/>
              <w:bottom w:val="single" w:sz="6" w:space="0" w:color="auto"/>
              <w:right w:val="nil"/>
            </w:tcBorders>
            <w:vAlign w:val="center"/>
          </w:tcPr>
          <w:p w14:paraId="7B25E86A" w14:textId="77777777" w:rsidR="00A46779" w:rsidRPr="00750AA5" w:rsidRDefault="00A46779" w:rsidP="00750AA5">
            <w:pPr>
              <w:pStyle w:val="PolicyTabletext"/>
              <w:rPr>
                <w:b/>
              </w:rPr>
            </w:pPr>
            <w:r w:rsidRPr="00750AA5">
              <w:rPr>
                <w:b/>
              </w:rPr>
              <w:t>Seasonal and Annual Tenancy Allocations</w:t>
            </w:r>
          </w:p>
        </w:tc>
        <w:tc>
          <w:tcPr>
            <w:tcW w:w="6095" w:type="dxa"/>
            <w:tcBorders>
              <w:top w:val="single" w:sz="6" w:space="0" w:color="auto"/>
              <w:left w:val="nil"/>
              <w:bottom w:val="single" w:sz="6" w:space="0" w:color="auto"/>
              <w:right w:val="nil"/>
            </w:tcBorders>
            <w:vAlign w:val="center"/>
          </w:tcPr>
          <w:p w14:paraId="785236D8" w14:textId="77777777" w:rsidR="00A46779" w:rsidRPr="008B4239" w:rsidRDefault="002A15A9" w:rsidP="00750AA5">
            <w:pPr>
              <w:pStyle w:val="PolicyTabletext"/>
            </w:pPr>
            <w:r w:rsidRPr="008B4239">
              <w:t>A tenancy a</w:t>
            </w:r>
            <w:r w:rsidR="00A46779" w:rsidRPr="008B4239">
              <w:t>llocation is an agreement that provides seasonal or annual use of a Council sporting ground, facility or pavilion.</w:t>
            </w:r>
          </w:p>
          <w:p w14:paraId="050F04EB" w14:textId="77777777" w:rsidR="00A46779" w:rsidRPr="00A46779" w:rsidRDefault="00A46779" w:rsidP="00750AA5">
            <w:pPr>
              <w:pStyle w:val="PolicyBulletPoint"/>
            </w:pPr>
            <w:r w:rsidRPr="00A46779">
              <w:rPr>
                <w:b/>
              </w:rPr>
              <w:t>Annual allocations</w:t>
            </w:r>
            <w:r w:rsidR="002A15A9">
              <w:br/>
            </w:r>
            <w:r w:rsidRPr="00A46779">
              <w:t>1 April to 31 March</w:t>
            </w:r>
          </w:p>
          <w:p w14:paraId="2C3C5602" w14:textId="77777777" w:rsidR="00A46779" w:rsidRPr="00A46779" w:rsidRDefault="00A46779" w:rsidP="00750AA5">
            <w:pPr>
              <w:pStyle w:val="PolicyBulletPoint"/>
            </w:pPr>
            <w:r w:rsidRPr="00A46779">
              <w:rPr>
                <w:b/>
              </w:rPr>
              <w:t>Seasonal summer allocations</w:t>
            </w:r>
            <w:r w:rsidR="002A15A9">
              <w:rPr>
                <w:b/>
              </w:rPr>
              <w:br/>
            </w:r>
            <w:r w:rsidR="002A15A9">
              <w:t>1 October to 29 February</w:t>
            </w:r>
          </w:p>
          <w:p w14:paraId="21BC4BC4" w14:textId="77777777" w:rsidR="00A46779" w:rsidRPr="00F10F59" w:rsidRDefault="00A46779" w:rsidP="00750AA5">
            <w:pPr>
              <w:pStyle w:val="PolicyBulletPoint"/>
            </w:pPr>
            <w:r w:rsidRPr="002A15A9">
              <w:rPr>
                <w:b/>
              </w:rPr>
              <w:t>Seasonal winter allocations</w:t>
            </w:r>
            <w:r w:rsidR="002A15A9">
              <w:rPr>
                <w:b/>
              </w:rPr>
              <w:br/>
            </w:r>
            <w:r w:rsidR="002A15A9">
              <w:t>1 April to 31 August</w:t>
            </w:r>
          </w:p>
        </w:tc>
      </w:tr>
      <w:tr w:rsidR="008B4239" w:rsidRPr="000D47EC" w14:paraId="584248F0" w14:textId="77777777" w:rsidTr="00F80543">
        <w:trPr>
          <w:trHeight w:val="1622"/>
        </w:trPr>
        <w:tc>
          <w:tcPr>
            <w:tcW w:w="3544" w:type="dxa"/>
            <w:tcBorders>
              <w:top w:val="single" w:sz="6" w:space="0" w:color="auto"/>
              <w:left w:val="nil"/>
              <w:bottom w:val="single" w:sz="6" w:space="0" w:color="auto"/>
              <w:right w:val="nil"/>
            </w:tcBorders>
            <w:vAlign w:val="center"/>
          </w:tcPr>
          <w:p w14:paraId="3122A5EA" w14:textId="77777777" w:rsidR="008B4239" w:rsidRPr="00750AA5" w:rsidRDefault="008B4239" w:rsidP="00750AA5">
            <w:pPr>
              <w:pStyle w:val="PolicyTabletext"/>
              <w:rPr>
                <w:b/>
              </w:rPr>
            </w:pPr>
            <w:r w:rsidRPr="00750AA5">
              <w:rPr>
                <w:b/>
              </w:rPr>
              <w:t>Lease agreement</w:t>
            </w:r>
          </w:p>
        </w:tc>
        <w:tc>
          <w:tcPr>
            <w:tcW w:w="6095" w:type="dxa"/>
            <w:tcBorders>
              <w:top w:val="single" w:sz="6" w:space="0" w:color="auto"/>
              <w:left w:val="nil"/>
              <w:bottom w:val="single" w:sz="6" w:space="0" w:color="auto"/>
              <w:right w:val="nil"/>
            </w:tcBorders>
            <w:vAlign w:val="center"/>
          </w:tcPr>
          <w:p w14:paraId="1943C752" w14:textId="77777777" w:rsidR="008B4239" w:rsidRPr="008B4239" w:rsidRDefault="008B4239" w:rsidP="00750AA5">
            <w:pPr>
              <w:pStyle w:val="PolicyTabletext"/>
            </w:pPr>
            <w:r w:rsidRPr="008B4239">
              <w:t>A Lease is an agreement that provides exclusive or long term occupation of a Council sporting ground, facility or pavilion. Council places a greater expectation on clubs in terms of maintenance and management where use is under the terms of a lease.</w:t>
            </w:r>
          </w:p>
        </w:tc>
      </w:tr>
      <w:tr w:rsidR="008B4239" w:rsidRPr="000D47EC" w14:paraId="35A896C2" w14:textId="77777777" w:rsidTr="00F80543">
        <w:trPr>
          <w:trHeight w:val="1452"/>
        </w:trPr>
        <w:tc>
          <w:tcPr>
            <w:tcW w:w="3544" w:type="dxa"/>
            <w:tcBorders>
              <w:top w:val="single" w:sz="6" w:space="0" w:color="auto"/>
              <w:left w:val="nil"/>
              <w:bottom w:val="single" w:sz="6" w:space="0" w:color="auto"/>
              <w:right w:val="nil"/>
            </w:tcBorders>
            <w:vAlign w:val="center"/>
          </w:tcPr>
          <w:p w14:paraId="01F50937" w14:textId="77777777" w:rsidR="008B4239" w:rsidRPr="00750AA5" w:rsidRDefault="008B4239" w:rsidP="00750AA5">
            <w:pPr>
              <w:pStyle w:val="PolicyTabletext"/>
              <w:rPr>
                <w:b/>
              </w:rPr>
            </w:pPr>
            <w:r w:rsidRPr="00750AA5">
              <w:rPr>
                <w:b/>
              </w:rPr>
              <w:t>Physical activity</w:t>
            </w:r>
          </w:p>
        </w:tc>
        <w:tc>
          <w:tcPr>
            <w:tcW w:w="6095" w:type="dxa"/>
            <w:tcBorders>
              <w:top w:val="single" w:sz="6" w:space="0" w:color="auto"/>
              <w:left w:val="nil"/>
              <w:bottom w:val="single" w:sz="6" w:space="0" w:color="auto"/>
              <w:right w:val="nil"/>
            </w:tcBorders>
            <w:vAlign w:val="center"/>
          </w:tcPr>
          <w:p w14:paraId="306F3748" w14:textId="77777777" w:rsidR="008B4239" w:rsidRPr="00675ADC" w:rsidRDefault="008B4239" w:rsidP="003D5966">
            <w:pPr>
              <w:pStyle w:val="PolicyTabletext"/>
            </w:pPr>
            <w:r w:rsidRPr="00675ADC">
              <w:t>Any movement produced by skeletal muscles that requires energy expenditure It includes sport, fitness, play and active transport. Physical activity is also gardening, dancing or throwing a Frisbee in the park.</w:t>
            </w:r>
          </w:p>
        </w:tc>
      </w:tr>
      <w:tr w:rsidR="008B4239" w:rsidRPr="000D47EC" w14:paraId="728314B5" w14:textId="77777777" w:rsidTr="00F80543">
        <w:trPr>
          <w:trHeight w:val="1690"/>
        </w:trPr>
        <w:tc>
          <w:tcPr>
            <w:tcW w:w="3544" w:type="dxa"/>
            <w:tcBorders>
              <w:top w:val="single" w:sz="6" w:space="0" w:color="auto"/>
              <w:left w:val="nil"/>
              <w:bottom w:val="single" w:sz="6" w:space="0" w:color="auto"/>
              <w:right w:val="nil"/>
            </w:tcBorders>
            <w:vAlign w:val="center"/>
          </w:tcPr>
          <w:p w14:paraId="1FAC538A" w14:textId="77777777" w:rsidR="008B4239" w:rsidRPr="00750AA5" w:rsidRDefault="008B4239" w:rsidP="00750AA5">
            <w:pPr>
              <w:pStyle w:val="PolicyTabletext"/>
              <w:rPr>
                <w:b/>
              </w:rPr>
            </w:pPr>
            <w:r w:rsidRPr="00750AA5">
              <w:rPr>
                <w:b/>
              </w:rPr>
              <w:t>Sport</w:t>
            </w:r>
          </w:p>
        </w:tc>
        <w:tc>
          <w:tcPr>
            <w:tcW w:w="6095" w:type="dxa"/>
            <w:tcBorders>
              <w:top w:val="single" w:sz="6" w:space="0" w:color="auto"/>
              <w:left w:val="nil"/>
              <w:bottom w:val="single" w:sz="6" w:space="0" w:color="auto"/>
              <w:right w:val="nil"/>
            </w:tcBorders>
            <w:vAlign w:val="center"/>
          </w:tcPr>
          <w:p w14:paraId="310D9E6A" w14:textId="77777777" w:rsidR="008B4239" w:rsidRPr="00675ADC" w:rsidRDefault="008B4239" w:rsidP="00750AA5">
            <w:pPr>
              <w:pStyle w:val="PolicyTabletext"/>
            </w:pPr>
            <w:r w:rsidRPr="00F10F59">
              <w:t>A human activity involving physical exertion and skill as the primary focus of the activity, with elements of competition where rules and patterns of behaviour governing the activity exist formally through organisations and is generally recognised as a sport.</w:t>
            </w:r>
          </w:p>
        </w:tc>
      </w:tr>
      <w:tr w:rsidR="008B4239" w:rsidRPr="000D47EC" w14:paraId="7D641730" w14:textId="77777777" w:rsidTr="00F80543">
        <w:trPr>
          <w:trHeight w:val="4082"/>
        </w:trPr>
        <w:tc>
          <w:tcPr>
            <w:tcW w:w="3544" w:type="dxa"/>
            <w:tcBorders>
              <w:top w:val="single" w:sz="6" w:space="0" w:color="auto"/>
              <w:left w:val="nil"/>
              <w:bottom w:val="single" w:sz="6" w:space="0" w:color="auto"/>
              <w:right w:val="nil"/>
            </w:tcBorders>
            <w:vAlign w:val="center"/>
          </w:tcPr>
          <w:p w14:paraId="29BE598B" w14:textId="77777777" w:rsidR="008B4239" w:rsidRPr="00750AA5" w:rsidRDefault="008B4239" w:rsidP="00750AA5">
            <w:pPr>
              <w:pStyle w:val="PolicyTabletext"/>
              <w:rPr>
                <w:b/>
              </w:rPr>
            </w:pPr>
            <w:r w:rsidRPr="00750AA5">
              <w:rPr>
                <w:b/>
              </w:rPr>
              <w:lastRenderedPageBreak/>
              <w:t>State Sporting Association (SSA)</w:t>
            </w:r>
          </w:p>
        </w:tc>
        <w:tc>
          <w:tcPr>
            <w:tcW w:w="6095" w:type="dxa"/>
            <w:tcBorders>
              <w:top w:val="single" w:sz="6" w:space="0" w:color="auto"/>
              <w:left w:val="nil"/>
              <w:bottom w:val="single" w:sz="6" w:space="0" w:color="auto"/>
              <w:right w:val="nil"/>
            </w:tcBorders>
            <w:vAlign w:val="center"/>
          </w:tcPr>
          <w:p w14:paraId="067DF1A8" w14:textId="77777777" w:rsidR="008B4239" w:rsidRDefault="008B4239" w:rsidP="00750AA5">
            <w:pPr>
              <w:pStyle w:val="PolicyTabletext"/>
            </w:pPr>
            <w:r w:rsidRPr="00F10F59">
              <w:t xml:space="preserve">A state sporting association (SSA) is the pre-eminent governing body for a sport in Victoria. </w:t>
            </w:r>
            <w:r>
              <w:t>SSA’s:</w:t>
            </w:r>
          </w:p>
          <w:p w14:paraId="28AC6A70" w14:textId="77777777" w:rsidR="008B4239" w:rsidRPr="00A46779" w:rsidRDefault="00F80543" w:rsidP="00750AA5">
            <w:pPr>
              <w:pStyle w:val="PolicyBulletPoint"/>
            </w:pPr>
            <w:r w:rsidRPr="00A46779">
              <w:t>A</w:t>
            </w:r>
            <w:r w:rsidR="008B4239" w:rsidRPr="00A46779">
              <w:t xml:space="preserve">re capable of representing all Victorians’ participating in the sport, </w:t>
            </w:r>
          </w:p>
          <w:p w14:paraId="797C0B33" w14:textId="77777777" w:rsidR="008B4239" w:rsidRPr="00F10F59" w:rsidRDefault="00F80543" w:rsidP="00750AA5">
            <w:pPr>
              <w:pStyle w:val="PolicyBulletPoint"/>
            </w:pPr>
            <w:r>
              <w:t>A</w:t>
            </w:r>
            <w:r w:rsidR="008B4239">
              <w:t xml:space="preserve">re </w:t>
            </w:r>
            <w:r w:rsidR="008B4239" w:rsidRPr="00F10F59">
              <w:t>affiliated with the National Sporting Organisation (NSO</w:t>
            </w:r>
            <w:r w:rsidR="008B4239">
              <w:t xml:space="preserve">) </w:t>
            </w:r>
            <w:r w:rsidR="008B4239" w:rsidRPr="00F10F59">
              <w:t>for the sport,</w:t>
            </w:r>
          </w:p>
          <w:p w14:paraId="26C68C6E" w14:textId="77777777" w:rsidR="008B4239" w:rsidRPr="00F10F59" w:rsidRDefault="00F80543" w:rsidP="00750AA5">
            <w:pPr>
              <w:pStyle w:val="PolicyBulletPoint"/>
            </w:pPr>
            <w:r>
              <w:t>H</w:t>
            </w:r>
            <w:r w:rsidR="008B4239">
              <w:t>ave</w:t>
            </w:r>
            <w:r w:rsidR="008B4239" w:rsidRPr="00F10F59">
              <w:t xml:space="preserve"> sound financial and go</w:t>
            </w:r>
            <w:r w:rsidR="008B4239">
              <w:t>vernance policies and practices,</w:t>
            </w:r>
          </w:p>
          <w:p w14:paraId="2A0616D4" w14:textId="77777777" w:rsidR="008B4239" w:rsidRPr="00F10F59" w:rsidRDefault="00F80543" w:rsidP="00750AA5">
            <w:pPr>
              <w:pStyle w:val="PolicyBulletPoint"/>
            </w:pPr>
            <w:r>
              <w:t>H</w:t>
            </w:r>
            <w:r w:rsidR="008B4239" w:rsidRPr="00F10F59">
              <w:t>a</w:t>
            </w:r>
            <w:r w:rsidR="008B4239">
              <w:t>ve</w:t>
            </w:r>
            <w:r w:rsidR="008B4239" w:rsidRPr="00F10F59">
              <w:t xml:space="preserve"> policies and procedures in place to protect the integrity of the sport and implement Victorian government policy including the Victorian Code</w:t>
            </w:r>
            <w:r w:rsidR="008B4239">
              <w:t xml:space="preserve"> of Conduct for Community Sport,</w:t>
            </w:r>
            <w:r w:rsidR="008B4239" w:rsidRPr="00F10F59">
              <w:t xml:space="preserve"> and </w:t>
            </w:r>
          </w:p>
          <w:p w14:paraId="46A685B4" w14:textId="77777777" w:rsidR="008B4239" w:rsidRPr="00F10F59" w:rsidRDefault="00F80543" w:rsidP="00750AA5">
            <w:pPr>
              <w:pStyle w:val="PolicyBulletPoint"/>
            </w:pPr>
            <w:r w:rsidRPr="00F10F59">
              <w:t>A</w:t>
            </w:r>
            <w:r w:rsidR="008B4239">
              <w:t>re a</w:t>
            </w:r>
            <w:r w:rsidR="008B4239" w:rsidRPr="00F10F59">
              <w:t xml:space="preserve"> legal, not-for-profit entity.</w:t>
            </w:r>
          </w:p>
        </w:tc>
      </w:tr>
    </w:tbl>
    <w:p w14:paraId="03DA939D" w14:textId="77777777" w:rsidR="00B12EC1" w:rsidRPr="000D47EC" w:rsidRDefault="00B12EC1" w:rsidP="00A46779">
      <w:pPr>
        <w:pStyle w:val="PolicyHeading1"/>
        <w:spacing w:after="240"/>
      </w:pPr>
      <w:bookmarkStart w:id="62" w:name="_Toc311535101"/>
      <w:bookmarkStart w:id="63" w:name="_Toc321227929"/>
      <w:bookmarkStart w:id="64" w:name="_Toc321228197"/>
      <w:bookmarkStart w:id="65" w:name="_Toc321228370"/>
      <w:bookmarkStart w:id="66" w:name="_Toc321228994"/>
      <w:bookmarkStart w:id="67" w:name="_Toc323630334"/>
      <w:bookmarkStart w:id="68" w:name="_Toc323630376"/>
      <w:bookmarkStart w:id="69" w:name="_Toc323630456"/>
      <w:bookmarkStart w:id="70" w:name="_Toc335216536"/>
      <w:bookmarkStart w:id="71" w:name="_Toc335217367"/>
      <w:bookmarkStart w:id="72" w:name="_Toc335218003"/>
      <w:bookmarkStart w:id="73" w:name="_Toc336507819"/>
      <w:bookmarkStart w:id="74" w:name="_Toc338250699"/>
      <w:r w:rsidRPr="000D47EC">
        <w:t>ASSOCIATED DOCUMENTS</w:t>
      </w:r>
      <w:bookmarkEnd w:id="62"/>
      <w:bookmarkEnd w:id="63"/>
      <w:bookmarkEnd w:id="64"/>
      <w:bookmarkEnd w:id="65"/>
      <w:bookmarkEnd w:id="66"/>
      <w:bookmarkEnd w:id="67"/>
      <w:bookmarkEnd w:id="68"/>
      <w:bookmarkEnd w:id="69"/>
      <w:bookmarkEnd w:id="70"/>
      <w:bookmarkEnd w:id="71"/>
      <w:bookmarkEnd w:id="72"/>
      <w:bookmarkEnd w:id="73"/>
      <w:bookmarkEnd w:id="74"/>
    </w:p>
    <w:p w14:paraId="735D9538" w14:textId="77777777" w:rsidR="00506F47" w:rsidRDefault="00980FD9" w:rsidP="00750AA5">
      <w:pPr>
        <w:pStyle w:val="Policybodytext"/>
      </w:pPr>
      <w:r w:rsidRPr="00980FD9">
        <w:t xml:space="preserve">State Sporting Association </w:t>
      </w:r>
      <w:r w:rsidR="00506F47" w:rsidRPr="00980FD9">
        <w:t>Strategies</w:t>
      </w:r>
    </w:p>
    <w:p w14:paraId="68328578" w14:textId="77777777" w:rsidR="00AA7721" w:rsidRDefault="00AA7721" w:rsidP="006E7734">
      <w:pPr>
        <w:numPr>
          <w:ilvl w:val="0"/>
          <w:numId w:val="6"/>
        </w:numPr>
        <w:spacing w:before="80" w:after="80"/>
        <w:ind w:left="357" w:hanging="357"/>
        <w:rPr>
          <w:rFonts w:ascii="Arial" w:hAnsi="Arial" w:cs="Arial"/>
          <w:sz w:val="22"/>
          <w:szCs w:val="22"/>
        </w:rPr>
      </w:pPr>
      <w:r>
        <w:rPr>
          <w:rFonts w:ascii="Arial" w:hAnsi="Arial" w:cs="Arial"/>
          <w:sz w:val="22"/>
          <w:szCs w:val="22"/>
        </w:rPr>
        <w:t>Athletics Victoria</w:t>
      </w:r>
      <w:r w:rsidR="000A030E">
        <w:rPr>
          <w:rFonts w:ascii="Arial" w:hAnsi="Arial" w:cs="Arial"/>
          <w:sz w:val="22"/>
          <w:szCs w:val="22"/>
        </w:rPr>
        <w:t xml:space="preserve"> - </w:t>
      </w:r>
      <w:hyperlink r:id="rId8" w:history="1">
        <w:r w:rsidR="000A030E" w:rsidRPr="000A030E">
          <w:rPr>
            <w:rStyle w:val="Hyperlink"/>
            <w:rFonts w:ascii="Arial" w:hAnsi="Arial" w:cs="Arial"/>
            <w:sz w:val="22"/>
            <w:szCs w:val="22"/>
          </w:rPr>
          <w:t>Strategic Plan 2014–2017</w:t>
        </w:r>
      </w:hyperlink>
    </w:p>
    <w:p w14:paraId="75373DCF" w14:textId="77777777" w:rsidR="00980FD9" w:rsidRDefault="00980FD9" w:rsidP="006E7734">
      <w:pPr>
        <w:numPr>
          <w:ilvl w:val="0"/>
          <w:numId w:val="6"/>
        </w:numPr>
        <w:spacing w:before="80" w:after="80"/>
        <w:ind w:left="357" w:hanging="357"/>
        <w:rPr>
          <w:rFonts w:ascii="Arial" w:hAnsi="Arial" w:cs="Arial"/>
          <w:sz w:val="22"/>
          <w:szCs w:val="22"/>
        </w:rPr>
      </w:pPr>
      <w:r w:rsidRPr="00AA7721">
        <w:rPr>
          <w:rFonts w:ascii="Arial" w:hAnsi="Arial" w:cs="Arial"/>
          <w:sz w:val="22"/>
          <w:szCs w:val="22"/>
        </w:rPr>
        <w:t>AFL</w:t>
      </w:r>
      <w:r w:rsidR="006E7734">
        <w:rPr>
          <w:rFonts w:ascii="Arial" w:hAnsi="Arial" w:cs="Arial"/>
          <w:sz w:val="22"/>
          <w:szCs w:val="22"/>
        </w:rPr>
        <w:t xml:space="preserve"> </w:t>
      </w:r>
      <w:r w:rsidRPr="00AA7721">
        <w:rPr>
          <w:rFonts w:ascii="Arial" w:hAnsi="Arial" w:cs="Arial"/>
          <w:sz w:val="22"/>
          <w:szCs w:val="22"/>
        </w:rPr>
        <w:t xml:space="preserve">Vic </w:t>
      </w:r>
      <w:r w:rsidR="00AA7721" w:rsidRPr="00AA7721">
        <w:rPr>
          <w:rFonts w:ascii="Arial" w:hAnsi="Arial" w:cs="Arial"/>
          <w:sz w:val="22"/>
          <w:szCs w:val="22"/>
        </w:rPr>
        <w:t xml:space="preserve">- </w:t>
      </w:r>
      <w:hyperlink r:id="rId9" w:history="1">
        <w:r w:rsidR="00AA7721" w:rsidRPr="00AA7721">
          <w:rPr>
            <w:rStyle w:val="Hyperlink"/>
            <w:rFonts w:ascii="Arial" w:hAnsi="Arial" w:cs="Arial"/>
            <w:sz w:val="22"/>
            <w:szCs w:val="22"/>
          </w:rPr>
          <w:t xml:space="preserve">Growing the Heartland, Football Facilities Development Strategy </w:t>
        </w:r>
        <w:r w:rsidR="00AA7721">
          <w:rPr>
            <w:rStyle w:val="Hyperlink"/>
            <w:rFonts w:ascii="Arial" w:hAnsi="Arial" w:cs="Arial"/>
            <w:sz w:val="22"/>
            <w:szCs w:val="22"/>
          </w:rPr>
          <w:t>2014</w:t>
        </w:r>
        <w:r w:rsidR="00AA7721" w:rsidRPr="00AA7721">
          <w:rPr>
            <w:rStyle w:val="Hyperlink"/>
            <w:rFonts w:ascii="Arial" w:hAnsi="Arial" w:cs="Arial"/>
            <w:sz w:val="22"/>
            <w:szCs w:val="22"/>
          </w:rPr>
          <w:t>-2020</w:t>
        </w:r>
      </w:hyperlink>
    </w:p>
    <w:p w14:paraId="634B19A5" w14:textId="77777777" w:rsidR="00E96809" w:rsidRPr="00E96809" w:rsidRDefault="00E96809" w:rsidP="006E7734">
      <w:pPr>
        <w:numPr>
          <w:ilvl w:val="0"/>
          <w:numId w:val="6"/>
        </w:numPr>
        <w:spacing w:before="80" w:after="80"/>
        <w:ind w:left="357" w:hanging="357"/>
        <w:rPr>
          <w:rFonts w:ascii="Arial" w:hAnsi="Arial" w:cs="Arial"/>
          <w:sz w:val="22"/>
          <w:szCs w:val="22"/>
        </w:rPr>
      </w:pPr>
      <w:r w:rsidRPr="00E96809">
        <w:rPr>
          <w:rFonts w:ascii="Arial" w:hAnsi="Arial" w:cs="Arial"/>
          <w:sz w:val="22"/>
          <w:szCs w:val="22"/>
        </w:rPr>
        <w:t xml:space="preserve">Badminton Victoria – </w:t>
      </w:r>
      <w:hyperlink r:id="rId10" w:history="1">
        <w:r w:rsidRPr="00E96809">
          <w:rPr>
            <w:rStyle w:val="Hyperlink"/>
            <w:rFonts w:ascii="Arial" w:hAnsi="Arial" w:cs="Arial"/>
            <w:sz w:val="22"/>
            <w:szCs w:val="22"/>
          </w:rPr>
          <w:t>Victorian Commonwealth Games Association Strategic Plan 2011-2015</w:t>
        </w:r>
      </w:hyperlink>
    </w:p>
    <w:p w14:paraId="5323BB10" w14:textId="77777777" w:rsidR="00980FD9" w:rsidRDefault="00980FD9" w:rsidP="006E7734">
      <w:pPr>
        <w:numPr>
          <w:ilvl w:val="0"/>
          <w:numId w:val="6"/>
        </w:numPr>
        <w:spacing w:before="80" w:after="80"/>
        <w:ind w:left="357" w:hanging="357"/>
        <w:rPr>
          <w:rFonts w:ascii="Arial" w:hAnsi="Arial" w:cs="Arial"/>
          <w:sz w:val="22"/>
          <w:szCs w:val="22"/>
        </w:rPr>
      </w:pPr>
      <w:r>
        <w:rPr>
          <w:rFonts w:ascii="Arial" w:hAnsi="Arial" w:cs="Arial"/>
          <w:sz w:val="22"/>
          <w:szCs w:val="22"/>
        </w:rPr>
        <w:t xml:space="preserve">Baseball Victoria - </w:t>
      </w:r>
      <w:hyperlink r:id="rId11" w:history="1">
        <w:r w:rsidRPr="00AA7721">
          <w:rPr>
            <w:rStyle w:val="Hyperlink"/>
            <w:rFonts w:ascii="Arial" w:hAnsi="Arial" w:cs="Arial"/>
            <w:sz w:val="22"/>
            <w:szCs w:val="22"/>
          </w:rPr>
          <w:t>Strategy for Baseball in Victoria: 2012-2015</w:t>
        </w:r>
      </w:hyperlink>
    </w:p>
    <w:p w14:paraId="1CCC32C6" w14:textId="77777777" w:rsidR="00980FD9" w:rsidRPr="00AA7721" w:rsidRDefault="00980FD9" w:rsidP="006E7734">
      <w:pPr>
        <w:numPr>
          <w:ilvl w:val="0"/>
          <w:numId w:val="6"/>
        </w:numPr>
        <w:spacing w:before="80" w:after="80"/>
        <w:ind w:left="357" w:hanging="357"/>
        <w:rPr>
          <w:rFonts w:ascii="Arial" w:hAnsi="Arial" w:cs="Arial"/>
          <w:sz w:val="22"/>
          <w:szCs w:val="22"/>
        </w:rPr>
      </w:pPr>
      <w:r w:rsidRPr="00AA7721">
        <w:rPr>
          <w:rFonts w:ascii="Arial" w:hAnsi="Arial" w:cs="Arial"/>
          <w:sz w:val="22"/>
          <w:szCs w:val="22"/>
        </w:rPr>
        <w:t>Bowls Victoria</w:t>
      </w:r>
      <w:r w:rsidR="00AA7721" w:rsidRPr="00AA7721">
        <w:rPr>
          <w:rFonts w:ascii="Arial" w:hAnsi="Arial" w:cs="Arial"/>
          <w:sz w:val="22"/>
          <w:szCs w:val="22"/>
        </w:rPr>
        <w:t xml:space="preserve"> - </w:t>
      </w:r>
      <w:hyperlink r:id="rId12" w:history="1">
        <w:r w:rsidR="00AA7721" w:rsidRPr="00AA7721">
          <w:rPr>
            <w:rStyle w:val="Hyperlink"/>
            <w:rFonts w:ascii="Arial" w:hAnsi="Arial" w:cs="Arial"/>
            <w:sz w:val="22"/>
            <w:szCs w:val="22"/>
          </w:rPr>
          <w:t>Strategic Plan Summary 2013-2017</w:t>
        </w:r>
      </w:hyperlink>
    </w:p>
    <w:p w14:paraId="60C4A73A" w14:textId="77777777" w:rsidR="00980FD9" w:rsidRDefault="00980FD9" w:rsidP="006E7734">
      <w:pPr>
        <w:numPr>
          <w:ilvl w:val="0"/>
          <w:numId w:val="6"/>
        </w:numPr>
        <w:spacing w:before="80" w:after="80"/>
        <w:ind w:left="357" w:hanging="357"/>
        <w:rPr>
          <w:rFonts w:ascii="Arial" w:hAnsi="Arial" w:cs="Arial"/>
          <w:sz w:val="22"/>
          <w:szCs w:val="22"/>
        </w:rPr>
      </w:pPr>
      <w:r>
        <w:rPr>
          <w:rFonts w:ascii="Arial" w:hAnsi="Arial" w:cs="Arial"/>
          <w:sz w:val="22"/>
          <w:szCs w:val="22"/>
        </w:rPr>
        <w:t xml:space="preserve">Cricket Victoria - </w:t>
      </w:r>
      <w:hyperlink r:id="rId13" w:history="1">
        <w:r w:rsidRPr="000A030E">
          <w:rPr>
            <w:rStyle w:val="Hyperlink"/>
            <w:rFonts w:ascii="Arial" w:hAnsi="Arial" w:cs="Arial"/>
            <w:sz w:val="22"/>
            <w:szCs w:val="22"/>
          </w:rPr>
          <w:t>Strategy for Victorian Cricket 2015-2017</w:t>
        </w:r>
      </w:hyperlink>
    </w:p>
    <w:p w14:paraId="735038FB" w14:textId="77777777" w:rsidR="00AA7721" w:rsidRPr="00AA7721" w:rsidRDefault="00AA7721" w:rsidP="006E7734">
      <w:pPr>
        <w:numPr>
          <w:ilvl w:val="0"/>
          <w:numId w:val="6"/>
        </w:numPr>
        <w:spacing w:before="80" w:after="80"/>
        <w:ind w:left="357" w:hanging="357"/>
        <w:rPr>
          <w:rFonts w:ascii="Arial" w:hAnsi="Arial" w:cs="Arial"/>
          <w:sz w:val="22"/>
          <w:szCs w:val="22"/>
        </w:rPr>
      </w:pPr>
      <w:r w:rsidRPr="00AA7721">
        <w:rPr>
          <w:rFonts w:ascii="Arial" w:hAnsi="Arial" w:cs="Arial"/>
          <w:sz w:val="22"/>
          <w:szCs w:val="22"/>
        </w:rPr>
        <w:t xml:space="preserve">Cycling Victoria – </w:t>
      </w:r>
      <w:hyperlink r:id="rId14" w:history="1">
        <w:r w:rsidRPr="000A030E">
          <w:rPr>
            <w:rStyle w:val="Hyperlink"/>
            <w:rFonts w:ascii="Arial" w:hAnsi="Arial" w:cs="Arial"/>
            <w:sz w:val="22"/>
            <w:szCs w:val="22"/>
          </w:rPr>
          <w:t>Strategic Plan 2013–2016</w:t>
        </w:r>
      </w:hyperlink>
    </w:p>
    <w:p w14:paraId="67A6D803" w14:textId="77777777" w:rsidR="00980FD9" w:rsidRDefault="00980FD9" w:rsidP="006E7734">
      <w:pPr>
        <w:numPr>
          <w:ilvl w:val="0"/>
          <w:numId w:val="6"/>
        </w:numPr>
        <w:spacing w:before="80" w:after="80"/>
        <w:ind w:left="357" w:hanging="357"/>
        <w:rPr>
          <w:rFonts w:ascii="Arial" w:hAnsi="Arial" w:cs="Arial"/>
          <w:sz w:val="22"/>
          <w:szCs w:val="22"/>
        </w:rPr>
      </w:pPr>
      <w:r>
        <w:rPr>
          <w:rFonts w:ascii="Arial" w:hAnsi="Arial" w:cs="Arial"/>
          <w:sz w:val="22"/>
          <w:szCs w:val="22"/>
        </w:rPr>
        <w:t>Football Federation Victoria</w:t>
      </w:r>
      <w:r w:rsidR="00AA7721">
        <w:rPr>
          <w:rFonts w:ascii="Arial" w:hAnsi="Arial" w:cs="Arial"/>
          <w:sz w:val="22"/>
          <w:szCs w:val="22"/>
        </w:rPr>
        <w:t xml:space="preserve"> – </w:t>
      </w:r>
      <w:hyperlink r:id="rId15" w:history="1">
        <w:r w:rsidR="00AA7721" w:rsidRPr="000A030E">
          <w:rPr>
            <w:rStyle w:val="Hyperlink"/>
            <w:rFonts w:ascii="Arial" w:hAnsi="Arial" w:cs="Arial"/>
            <w:sz w:val="22"/>
            <w:szCs w:val="22"/>
          </w:rPr>
          <w:t>Football in Victoria, FFV Strategic Plan 2012-2015</w:t>
        </w:r>
      </w:hyperlink>
    </w:p>
    <w:p w14:paraId="06B9DB69" w14:textId="77777777" w:rsidR="00AA7721" w:rsidRDefault="00AA7721" w:rsidP="006E7734">
      <w:pPr>
        <w:numPr>
          <w:ilvl w:val="0"/>
          <w:numId w:val="6"/>
        </w:numPr>
        <w:spacing w:before="80" w:after="80"/>
        <w:ind w:left="357" w:hanging="357"/>
        <w:rPr>
          <w:rFonts w:ascii="Arial" w:hAnsi="Arial" w:cs="Arial"/>
          <w:sz w:val="22"/>
          <w:szCs w:val="22"/>
        </w:rPr>
      </w:pPr>
      <w:r>
        <w:rPr>
          <w:rFonts w:ascii="Arial" w:hAnsi="Arial" w:cs="Arial"/>
          <w:sz w:val="22"/>
          <w:szCs w:val="22"/>
        </w:rPr>
        <w:t xml:space="preserve">Frisbee – </w:t>
      </w:r>
      <w:hyperlink r:id="rId16" w:history="1">
        <w:r w:rsidRPr="000A030E">
          <w:rPr>
            <w:rStyle w:val="Hyperlink"/>
            <w:rFonts w:ascii="Arial" w:hAnsi="Arial" w:cs="Arial"/>
            <w:sz w:val="22"/>
            <w:szCs w:val="22"/>
          </w:rPr>
          <w:t>Ultimate Victoria Strategic Plan 2012-2015</w:t>
        </w:r>
      </w:hyperlink>
    </w:p>
    <w:p w14:paraId="23230956" w14:textId="77777777" w:rsidR="00AA7721" w:rsidRDefault="00AA7721" w:rsidP="006E7734">
      <w:pPr>
        <w:numPr>
          <w:ilvl w:val="0"/>
          <w:numId w:val="6"/>
        </w:numPr>
        <w:spacing w:before="80" w:after="80"/>
        <w:ind w:left="357" w:hanging="357"/>
        <w:rPr>
          <w:rFonts w:ascii="Arial" w:hAnsi="Arial" w:cs="Arial"/>
          <w:sz w:val="22"/>
          <w:szCs w:val="22"/>
        </w:rPr>
      </w:pPr>
      <w:r>
        <w:rPr>
          <w:rFonts w:ascii="Arial" w:hAnsi="Arial" w:cs="Arial"/>
          <w:sz w:val="22"/>
          <w:szCs w:val="22"/>
        </w:rPr>
        <w:t xml:space="preserve">Hockey Victoria – </w:t>
      </w:r>
      <w:hyperlink r:id="rId17" w:history="1">
        <w:r w:rsidRPr="000A030E">
          <w:rPr>
            <w:rStyle w:val="Hyperlink"/>
            <w:rFonts w:ascii="Arial" w:hAnsi="Arial" w:cs="Arial"/>
            <w:sz w:val="22"/>
            <w:szCs w:val="22"/>
          </w:rPr>
          <w:t>Growing our game, Hockey Victoria Strategic Plan 2013-2016</w:t>
        </w:r>
      </w:hyperlink>
    </w:p>
    <w:p w14:paraId="1229F8F1" w14:textId="77777777" w:rsidR="00980FD9" w:rsidRDefault="00980FD9" w:rsidP="006E7734">
      <w:pPr>
        <w:numPr>
          <w:ilvl w:val="0"/>
          <w:numId w:val="6"/>
        </w:numPr>
        <w:spacing w:before="80" w:after="80"/>
        <w:ind w:left="357" w:hanging="357"/>
        <w:rPr>
          <w:rFonts w:ascii="Arial" w:hAnsi="Arial" w:cs="Arial"/>
          <w:sz w:val="22"/>
          <w:szCs w:val="22"/>
        </w:rPr>
      </w:pPr>
      <w:r>
        <w:rPr>
          <w:rFonts w:ascii="Arial" w:hAnsi="Arial" w:cs="Arial"/>
          <w:sz w:val="22"/>
          <w:szCs w:val="22"/>
        </w:rPr>
        <w:t>Lacrosse Victoria</w:t>
      </w:r>
      <w:r w:rsidR="00AA7721">
        <w:rPr>
          <w:rFonts w:ascii="Arial" w:hAnsi="Arial" w:cs="Arial"/>
          <w:sz w:val="22"/>
          <w:szCs w:val="22"/>
        </w:rPr>
        <w:t xml:space="preserve"> - </w:t>
      </w:r>
      <w:hyperlink r:id="rId18" w:history="1">
        <w:r w:rsidR="00AA7721" w:rsidRPr="000A030E">
          <w:rPr>
            <w:rStyle w:val="Hyperlink"/>
            <w:rFonts w:ascii="Arial" w:hAnsi="Arial" w:cs="Arial"/>
            <w:sz w:val="22"/>
            <w:szCs w:val="22"/>
          </w:rPr>
          <w:t>Strategic Plan 2013-2017</w:t>
        </w:r>
      </w:hyperlink>
    </w:p>
    <w:p w14:paraId="6F400113" w14:textId="77777777" w:rsidR="00AA7721" w:rsidRDefault="00AA7721" w:rsidP="006E7734">
      <w:pPr>
        <w:numPr>
          <w:ilvl w:val="0"/>
          <w:numId w:val="6"/>
        </w:numPr>
        <w:spacing w:before="80" w:after="80"/>
        <w:ind w:left="357" w:hanging="357"/>
        <w:rPr>
          <w:rFonts w:ascii="Arial" w:hAnsi="Arial" w:cs="Arial"/>
          <w:sz w:val="22"/>
          <w:szCs w:val="22"/>
        </w:rPr>
      </w:pPr>
      <w:r w:rsidRPr="00AA7721">
        <w:rPr>
          <w:rFonts w:ascii="Arial" w:hAnsi="Arial" w:cs="Arial"/>
          <w:sz w:val="22"/>
          <w:szCs w:val="22"/>
        </w:rPr>
        <w:t xml:space="preserve">Mallet Sports - </w:t>
      </w:r>
      <w:hyperlink r:id="rId19" w:history="1">
        <w:r w:rsidRPr="000A030E">
          <w:rPr>
            <w:rStyle w:val="Hyperlink"/>
            <w:rFonts w:ascii="Arial" w:hAnsi="Arial" w:cs="Arial"/>
            <w:sz w:val="22"/>
            <w:szCs w:val="22"/>
          </w:rPr>
          <w:t>Croquet Victoria Strategic Plan 2013-</w:t>
        </w:r>
        <w:r w:rsidR="00DA5A9F">
          <w:rPr>
            <w:rStyle w:val="Hyperlink"/>
            <w:rFonts w:ascii="Arial" w:hAnsi="Arial" w:cs="Arial"/>
            <w:sz w:val="22"/>
            <w:szCs w:val="22"/>
          </w:rPr>
          <w:t>20</w:t>
        </w:r>
        <w:r w:rsidRPr="000A030E">
          <w:rPr>
            <w:rStyle w:val="Hyperlink"/>
            <w:rFonts w:ascii="Arial" w:hAnsi="Arial" w:cs="Arial"/>
            <w:sz w:val="22"/>
            <w:szCs w:val="22"/>
          </w:rPr>
          <w:t>17</w:t>
        </w:r>
      </w:hyperlink>
    </w:p>
    <w:p w14:paraId="057639B5" w14:textId="77777777" w:rsidR="00DA5A9F" w:rsidRDefault="00DA5A9F" w:rsidP="006E7734">
      <w:pPr>
        <w:numPr>
          <w:ilvl w:val="0"/>
          <w:numId w:val="6"/>
        </w:numPr>
        <w:spacing w:before="80" w:after="80"/>
        <w:ind w:left="357" w:hanging="357"/>
        <w:rPr>
          <w:rFonts w:ascii="Arial" w:hAnsi="Arial" w:cs="Arial"/>
          <w:sz w:val="22"/>
          <w:szCs w:val="22"/>
        </w:rPr>
      </w:pPr>
      <w:r w:rsidRPr="00DA5A9F">
        <w:rPr>
          <w:rFonts w:ascii="Arial" w:hAnsi="Arial" w:cs="Arial"/>
          <w:sz w:val="22"/>
          <w:szCs w:val="22"/>
        </w:rPr>
        <w:t xml:space="preserve">Netball Victoria - </w:t>
      </w:r>
      <w:hyperlink r:id="rId20" w:history="1">
        <w:r w:rsidRPr="00DA5A9F">
          <w:rPr>
            <w:rStyle w:val="Hyperlink"/>
            <w:rFonts w:ascii="Arial" w:hAnsi="Arial" w:cs="Arial"/>
            <w:sz w:val="22"/>
            <w:szCs w:val="22"/>
          </w:rPr>
          <w:t xml:space="preserve">Our Strategic </w:t>
        </w:r>
        <w:r>
          <w:rPr>
            <w:rStyle w:val="Hyperlink"/>
            <w:rFonts w:ascii="Arial" w:hAnsi="Arial" w:cs="Arial"/>
            <w:sz w:val="22"/>
            <w:szCs w:val="22"/>
          </w:rPr>
          <w:t>Plan f</w:t>
        </w:r>
        <w:r w:rsidRPr="00DA5A9F">
          <w:rPr>
            <w:rStyle w:val="Hyperlink"/>
            <w:rFonts w:ascii="Arial" w:hAnsi="Arial" w:cs="Arial"/>
            <w:sz w:val="22"/>
            <w:szCs w:val="22"/>
          </w:rPr>
          <w:t>or Success 2014-2018</w:t>
        </w:r>
      </w:hyperlink>
    </w:p>
    <w:p w14:paraId="2390755A" w14:textId="77777777" w:rsidR="00DA5A9F" w:rsidRDefault="00DA5A9F" w:rsidP="006E7734">
      <w:pPr>
        <w:numPr>
          <w:ilvl w:val="0"/>
          <w:numId w:val="6"/>
        </w:numPr>
        <w:spacing w:before="80" w:after="80"/>
        <w:ind w:left="357" w:hanging="357"/>
        <w:rPr>
          <w:rFonts w:ascii="Arial" w:hAnsi="Arial" w:cs="Arial"/>
          <w:sz w:val="22"/>
          <w:szCs w:val="22"/>
        </w:rPr>
      </w:pPr>
      <w:r>
        <w:rPr>
          <w:rFonts w:ascii="Arial" w:hAnsi="Arial" w:cs="Arial"/>
          <w:sz w:val="22"/>
          <w:szCs w:val="22"/>
        </w:rPr>
        <w:t xml:space="preserve">Softball Victoria </w:t>
      </w:r>
      <w:r w:rsidR="004E1E85">
        <w:rPr>
          <w:rFonts w:ascii="Arial" w:hAnsi="Arial" w:cs="Arial"/>
          <w:sz w:val="22"/>
          <w:szCs w:val="22"/>
        </w:rPr>
        <w:t>–</w:t>
      </w:r>
      <w:r>
        <w:rPr>
          <w:rFonts w:ascii="Arial" w:hAnsi="Arial" w:cs="Arial"/>
          <w:sz w:val="22"/>
          <w:szCs w:val="22"/>
        </w:rPr>
        <w:t xml:space="preserve"> </w:t>
      </w:r>
      <w:hyperlink r:id="rId21" w:history="1">
        <w:r w:rsidR="004E1E85" w:rsidRPr="004E1E85">
          <w:rPr>
            <w:rStyle w:val="Hyperlink"/>
            <w:rFonts w:ascii="Arial" w:hAnsi="Arial" w:cs="Arial"/>
            <w:sz w:val="22"/>
            <w:szCs w:val="22"/>
          </w:rPr>
          <w:t>Strategic Plan 2014-2018</w:t>
        </w:r>
      </w:hyperlink>
    </w:p>
    <w:p w14:paraId="77F2B1B1" w14:textId="77777777" w:rsidR="00E96809" w:rsidRPr="00DA5A9F" w:rsidRDefault="00E96809" w:rsidP="006E7734">
      <w:pPr>
        <w:numPr>
          <w:ilvl w:val="0"/>
          <w:numId w:val="6"/>
        </w:numPr>
        <w:spacing w:before="80" w:after="80"/>
        <w:ind w:left="357" w:hanging="357"/>
        <w:rPr>
          <w:rFonts w:ascii="Arial" w:hAnsi="Arial" w:cs="Arial"/>
          <w:sz w:val="22"/>
          <w:szCs w:val="22"/>
        </w:rPr>
      </w:pPr>
      <w:r>
        <w:rPr>
          <w:rFonts w:ascii="Arial" w:hAnsi="Arial" w:cs="Arial"/>
          <w:sz w:val="22"/>
          <w:szCs w:val="22"/>
        </w:rPr>
        <w:t xml:space="preserve">Table Tennis Victoria - </w:t>
      </w:r>
      <w:hyperlink r:id="rId22" w:history="1">
        <w:r w:rsidRPr="00E96809">
          <w:rPr>
            <w:rStyle w:val="Hyperlink"/>
            <w:rFonts w:ascii="Arial" w:hAnsi="Arial" w:cs="Arial"/>
            <w:sz w:val="22"/>
            <w:szCs w:val="22"/>
          </w:rPr>
          <w:t>Table Tennis Australia Participation Plan 2011-2015</w:t>
        </w:r>
      </w:hyperlink>
    </w:p>
    <w:p w14:paraId="3497D5C1" w14:textId="77777777" w:rsidR="00980FD9" w:rsidRDefault="00980FD9" w:rsidP="006E7734">
      <w:pPr>
        <w:numPr>
          <w:ilvl w:val="0"/>
          <w:numId w:val="6"/>
        </w:numPr>
        <w:spacing w:before="80" w:after="80"/>
        <w:ind w:left="357" w:hanging="357"/>
        <w:rPr>
          <w:rFonts w:ascii="Arial" w:hAnsi="Arial" w:cs="Arial"/>
          <w:sz w:val="22"/>
          <w:szCs w:val="22"/>
        </w:rPr>
      </w:pPr>
      <w:r w:rsidRPr="00E96809">
        <w:rPr>
          <w:rFonts w:ascii="Arial" w:hAnsi="Arial" w:cs="Arial"/>
          <w:sz w:val="22"/>
          <w:szCs w:val="22"/>
        </w:rPr>
        <w:t>Tennis Victoria</w:t>
      </w:r>
      <w:r w:rsidR="00E96809" w:rsidRPr="00E96809">
        <w:rPr>
          <w:rFonts w:ascii="Arial" w:hAnsi="Arial" w:cs="Arial"/>
          <w:sz w:val="22"/>
          <w:szCs w:val="22"/>
        </w:rPr>
        <w:t xml:space="preserve"> - </w:t>
      </w:r>
      <w:hyperlink r:id="rId23" w:history="1">
        <w:r w:rsidR="00E96809" w:rsidRPr="00E96809">
          <w:rPr>
            <w:rStyle w:val="Hyperlink"/>
            <w:rFonts w:ascii="Arial" w:hAnsi="Arial" w:cs="Arial"/>
            <w:sz w:val="22"/>
            <w:szCs w:val="22"/>
          </w:rPr>
          <w:t>Tennis Victoria Strategic Plan to 2016</w:t>
        </w:r>
      </w:hyperlink>
    </w:p>
    <w:p w14:paraId="3FF009BB" w14:textId="77777777" w:rsidR="00E96809" w:rsidRPr="00E96809" w:rsidRDefault="00E96809" w:rsidP="006E7734">
      <w:pPr>
        <w:numPr>
          <w:ilvl w:val="0"/>
          <w:numId w:val="6"/>
        </w:numPr>
        <w:spacing w:before="80" w:after="80"/>
        <w:ind w:left="357" w:hanging="357"/>
        <w:rPr>
          <w:rFonts w:ascii="Arial" w:hAnsi="Arial" w:cs="Arial"/>
          <w:sz w:val="22"/>
          <w:szCs w:val="22"/>
        </w:rPr>
      </w:pPr>
      <w:r>
        <w:rPr>
          <w:rFonts w:ascii="Arial" w:hAnsi="Arial" w:cs="Arial"/>
          <w:sz w:val="22"/>
          <w:szCs w:val="22"/>
        </w:rPr>
        <w:t xml:space="preserve">Volleyball Victoria - </w:t>
      </w:r>
      <w:hyperlink r:id="rId24" w:history="1">
        <w:r w:rsidRPr="00E96809">
          <w:rPr>
            <w:rStyle w:val="Hyperlink"/>
            <w:rFonts w:ascii="Arial" w:hAnsi="Arial" w:cs="Arial"/>
            <w:sz w:val="22"/>
            <w:szCs w:val="22"/>
          </w:rPr>
          <w:t>Strategic Plan 2015-2017</w:t>
        </w:r>
      </w:hyperlink>
    </w:p>
    <w:p w14:paraId="76B222BF" w14:textId="77777777" w:rsidR="00602093" w:rsidRPr="000D47EC" w:rsidRDefault="00B12EC1" w:rsidP="000D47EC">
      <w:pPr>
        <w:pStyle w:val="PolicyHeading1"/>
      </w:pPr>
      <w:bookmarkStart w:id="75" w:name="_Toc311535102"/>
      <w:bookmarkStart w:id="76" w:name="_Toc321227930"/>
      <w:bookmarkStart w:id="77" w:name="_Toc321228198"/>
      <w:bookmarkStart w:id="78" w:name="_Toc321228371"/>
      <w:bookmarkStart w:id="79" w:name="_Toc321228995"/>
      <w:bookmarkStart w:id="80" w:name="_Toc323630335"/>
      <w:bookmarkStart w:id="81" w:name="_Toc323630377"/>
      <w:bookmarkStart w:id="82" w:name="_Toc323630457"/>
      <w:bookmarkStart w:id="83" w:name="_Toc335216537"/>
      <w:bookmarkStart w:id="84" w:name="_Toc335217368"/>
      <w:bookmarkStart w:id="85" w:name="_Toc335218004"/>
      <w:bookmarkStart w:id="86" w:name="_Toc336507820"/>
      <w:bookmarkStart w:id="87" w:name="_Toc338250700"/>
      <w:r w:rsidRPr="000D47EC">
        <w:t>REFERENCES</w:t>
      </w:r>
      <w:bookmarkEnd w:id="75"/>
      <w:bookmarkEnd w:id="76"/>
      <w:bookmarkEnd w:id="77"/>
      <w:bookmarkEnd w:id="78"/>
      <w:bookmarkEnd w:id="79"/>
      <w:bookmarkEnd w:id="80"/>
      <w:bookmarkEnd w:id="81"/>
      <w:bookmarkEnd w:id="82"/>
      <w:bookmarkEnd w:id="83"/>
      <w:bookmarkEnd w:id="84"/>
      <w:bookmarkEnd w:id="85"/>
      <w:bookmarkEnd w:id="86"/>
      <w:bookmarkEnd w:id="87"/>
    </w:p>
    <w:p w14:paraId="2AEBF518" w14:textId="77777777" w:rsidR="009E2038" w:rsidRDefault="009E2038" w:rsidP="00CD6DA9">
      <w:pPr>
        <w:pStyle w:val="Policybodytext"/>
      </w:pPr>
      <w:r w:rsidRPr="009E2038">
        <w:t>Department of Health</w:t>
      </w:r>
      <w:r>
        <w:t xml:space="preserve"> 2011, </w:t>
      </w:r>
      <w:r w:rsidR="00CD6DA9" w:rsidRPr="009E2038">
        <w:rPr>
          <w:i/>
        </w:rPr>
        <w:t>Victorian Public Health and Wellbeing Plan 2011–2015</w:t>
      </w:r>
      <w:r w:rsidR="00CD6DA9">
        <w:t xml:space="preserve">, </w:t>
      </w:r>
      <w:r w:rsidRPr="009E2038">
        <w:t>State of Victoria, Prevention and Population Health Branch</w:t>
      </w:r>
      <w:r>
        <w:t>, Department of Health, Melb</w:t>
      </w:r>
      <w:r w:rsidR="00750AA5">
        <w:t>ourne, viewed 10 December 2015</w:t>
      </w:r>
    </w:p>
    <w:p w14:paraId="39266F5D" w14:textId="77777777" w:rsidR="00104A8E" w:rsidRDefault="00104A8E" w:rsidP="00174381">
      <w:pPr>
        <w:pStyle w:val="Policybodytext"/>
        <w:spacing w:after="0"/>
      </w:pPr>
      <w:r>
        <w:t xml:space="preserve">Victorian State Government 2015, </w:t>
      </w:r>
      <w:r w:rsidRPr="001927F0">
        <w:rPr>
          <w:i/>
        </w:rPr>
        <w:t>Women and Girls in Sport and Active Recreation: A Five Year Game Plan for Victoria</w:t>
      </w:r>
      <w:r>
        <w:rPr>
          <w:i/>
        </w:rPr>
        <w:t xml:space="preserve">, </w:t>
      </w:r>
      <w:r>
        <w:t>State of Victoria, Melbourne, viewed 14 January 2015,</w:t>
      </w:r>
    </w:p>
    <w:p w14:paraId="128B0DDE" w14:textId="77777777" w:rsidR="00104A8E" w:rsidRPr="00104A8E" w:rsidRDefault="00104A8E" w:rsidP="00174381">
      <w:pPr>
        <w:pStyle w:val="Policybodytext"/>
        <w:spacing w:before="0" w:after="0"/>
      </w:pPr>
      <w:r>
        <w:t>&lt;</w:t>
      </w:r>
      <w:hyperlink r:id="rId25" w:history="1">
        <w:r w:rsidRPr="006E7734">
          <w:rPr>
            <w:rStyle w:val="Hyperlink"/>
          </w:rPr>
          <w:t>http://www.sport.vic.gov.au/sites/default/files/inquiry_into_women_and_girls_in_sport.pdf</w:t>
        </w:r>
      </w:hyperlink>
      <w:r>
        <w:t>&gt;</w:t>
      </w:r>
    </w:p>
    <w:sectPr w:rsidR="00104A8E" w:rsidRPr="00104A8E" w:rsidSect="004373CF">
      <w:footerReference w:type="default" r:id="rId26"/>
      <w:headerReference w:type="first" r:id="rId27"/>
      <w:pgSz w:w="11906" w:h="16838" w:code="9"/>
      <w:pgMar w:top="1418"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B3AF" w14:textId="77777777" w:rsidR="003D176C" w:rsidRDefault="003D176C">
      <w:r>
        <w:separator/>
      </w:r>
    </w:p>
  </w:endnote>
  <w:endnote w:type="continuationSeparator" w:id="0">
    <w:p w14:paraId="7F3E898E" w14:textId="77777777" w:rsidR="003D176C" w:rsidRDefault="003D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F010" w14:textId="77777777" w:rsidR="00104A8E" w:rsidRPr="000D47EC" w:rsidRDefault="00104A8E" w:rsidP="000D47EC">
    <w:pPr>
      <w:pStyle w:val="Footer"/>
      <w:jc w:val="right"/>
      <w:rPr>
        <w:rFonts w:ascii="Arial" w:hAnsi="Arial" w:cs="Arial"/>
        <w:sz w:val="20"/>
        <w:szCs w:val="20"/>
      </w:rPr>
    </w:pPr>
    <w:r w:rsidRPr="000D47EC">
      <w:rPr>
        <w:rFonts w:ascii="Arial" w:hAnsi="Arial" w:cs="Arial"/>
        <w:sz w:val="20"/>
        <w:szCs w:val="20"/>
      </w:rPr>
      <w:t xml:space="preserve">Page </w:t>
    </w:r>
    <w:r w:rsidR="005A6378" w:rsidRPr="000D47EC">
      <w:rPr>
        <w:rFonts w:ascii="Arial" w:hAnsi="Arial" w:cs="Arial"/>
        <w:sz w:val="20"/>
        <w:szCs w:val="20"/>
      </w:rPr>
      <w:fldChar w:fldCharType="begin"/>
    </w:r>
    <w:r w:rsidRPr="000D47EC">
      <w:rPr>
        <w:rFonts w:ascii="Arial" w:hAnsi="Arial" w:cs="Arial"/>
        <w:sz w:val="20"/>
        <w:szCs w:val="20"/>
      </w:rPr>
      <w:instrText xml:space="preserve"> PAGE   \* MERGEFORMAT </w:instrText>
    </w:r>
    <w:r w:rsidR="005A6378" w:rsidRPr="000D47EC">
      <w:rPr>
        <w:rFonts w:ascii="Arial" w:hAnsi="Arial" w:cs="Arial"/>
        <w:sz w:val="20"/>
        <w:szCs w:val="20"/>
      </w:rPr>
      <w:fldChar w:fldCharType="separate"/>
    </w:r>
    <w:r w:rsidR="004455ED">
      <w:rPr>
        <w:rFonts w:ascii="Arial" w:hAnsi="Arial" w:cs="Arial"/>
        <w:noProof/>
        <w:sz w:val="20"/>
        <w:szCs w:val="20"/>
      </w:rPr>
      <w:t>7</w:t>
    </w:r>
    <w:r w:rsidR="005A6378" w:rsidRPr="000D47E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E2F4" w14:textId="77777777" w:rsidR="003D176C" w:rsidRDefault="003D176C">
      <w:r>
        <w:separator/>
      </w:r>
    </w:p>
  </w:footnote>
  <w:footnote w:type="continuationSeparator" w:id="0">
    <w:p w14:paraId="7D5AECCB" w14:textId="77777777" w:rsidR="003D176C" w:rsidRDefault="003D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4974" w14:textId="4CDDBF0B" w:rsidR="00104A8E" w:rsidRDefault="003D176C" w:rsidP="004373CF">
    <w:pPr>
      <w:pStyle w:val="Header"/>
    </w:pPr>
    <w:r>
      <w:rPr>
        <w:noProof/>
      </w:rPr>
      <w:pict w14:anchorId="46AF9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49" type="#_x0000_t75" alt="Shape, rectangle&#10;&#10;Description automatically generated" style="position:absolute;margin-left:-56.7pt;margin-top:-.45pt;width:605.4pt;height:152.85pt;z-index:-1;visibility:visible;mso-wrap-style:square;mso-position-horizontal:absolute;mso-position-horizontal-relative:text;mso-position-vertical:absolute;mso-position-vertical-relative:text;mso-width-relative:page;mso-height-relative:page">
          <v:imagedata r:id="rId1" o:title="Shape, rectangle&#10;&#10;Description automatically generated"/>
        </v:shape>
      </w:pict>
    </w:r>
    <w:r w:rsidR="003F3BA7">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5B72"/>
    <w:multiLevelType w:val="hybridMultilevel"/>
    <w:tmpl w:val="E8B281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FA5F69"/>
    <w:multiLevelType w:val="hybridMultilevel"/>
    <w:tmpl w:val="EF120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3F7949"/>
    <w:multiLevelType w:val="hybridMultilevel"/>
    <w:tmpl w:val="4A34F9A6"/>
    <w:lvl w:ilvl="0" w:tplc="A4C805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00780"/>
    <w:multiLevelType w:val="hybridMultilevel"/>
    <w:tmpl w:val="D96EC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2F55DC"/>
    <w:multiLevelType w:val="hybridMultilevel"/>
    <w:tmpl w:val="493C0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7D4D1A"/>
    <w:multiLevelType w:val="hybridMultilevel"/>
    <w:tmpl w:val="458EAFE4"/>
    <w:lvl w:ilvl="0" w:tplc="003EB996">
      <w:start w:val="1"/>
      <w:numFmt w:val="bullet"/>
      <w:lvlText w:val="-"/>
      <w:lvlJc w:val="left"/>
      <w:pPr>
        <w:ind w:left="360" w:hanging="360"/>
      </w:pPr>
      <w:rPr>
        <w:rFonts w:ascii="Times New Roman" w:eastAsia="Times New Roman" w:hAnsi="Times New Roman" w:hint="default"/>
        <w:b/>
        <w:bCs/>
        <w:spacing w:val="-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B41B37"/>
    <w:multiLevelType w:val="hybridMultilevel"/>
    <w:tmpl w:val="8CC026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9374CF"/>
    <w:multiLevelType w:val="hybridMultilevel"/>
    <w:tmpl w:val="063EE494"/>
    <w:lvl w:ilvl="0" w:tplc="0C090001">
      <w:start w:val="1"/>
      <w:numFmt w:val="bullet"/>
      <w:lvlText w:val=""/>
      <w:lvlJc w:val="left"/>
      <w:pPr>
        <w:ind w:hanging="567"/>
      </w:pPr>
      <w:rPr>
        <w:rFonts w:ascii="Symbol" w:hAnsi="Symbol" w:hint="default"/>
        <w:b/>
        <w:bCs/>
        <w:spacing w:val="-1"/>
        <w:sz w:val="22"/>
        <w:szCs w:val="22"/>
      </w:rPr>
    </w:lvl>
    <w:lvl w:ilvl="1" w:tplc="6A12C0EC">
      <w:start w:val="1"/>
      <w:numFmt w:val="bullet"/>
      <w:lvlText w:val="•"/>
      <w:lvlJc w:val="left"/>
      <w:pPr>
        <w:ind w:hanging="360"/>
      </w:pPr>
      <w:rPr>
        <w:rFonts w:ascii="Arial" w:eastAsia="Arial" w:hAnsi="Arial" w:hint="default"/>
        <w:w w:val="131"/>
        <w:sz w:val="24"/>
        <w:szCs w:val="24"/>
      </w:rPr>
    </w:lvl>
    <w:lvl w:ilvl="2" w:tplc="C4C08A68">
      <w:start w:val="1"/>
      <w:numFmt w:val="bullet"/>
      <w:lvlText w:val="•"/>
      <w:lvlJc w:val="left"/>
      <w:pPr>
        <w:ind w:hanging="360"/>
      </w:pPr>
      <w:rPr>
        <w:rFonts w:ascii="Arial" w:eastAsia="Arial" w:hAnsi="Arial" w:hint="default"/>
        <w:w w:val="131"/>
        <w:sz w:val="24"/>
        <w:szCs w:val="24"/>
      </w:rPr>
    </w:lvl>
    <w:lvl w:ilvl="3" w:tplc="588C71F6">
      <w:start w:val="1"/>
      <w:numFmt w:val="bullet"/>
      <w:lvlText w:val="•"/>
      <w:lvlJc w:val="left"/>
      <w:rPr>
        <w:rFonts w:hint="default"/>
      </w:rPr>
    </w:lvl>
    <w:lvl w:ilvl="4" w:tplc="869EE702">
      <w:start w:val="1"/>
      <w:numFmt w:val="bullet"/>
      <w:lvlText w:val="•"/>
      <w:lvlJc w:val="left"/>
      <w:rPr>
        <w:rFonts w:hint="default"/>
      </w:rPr>
    </w:lvl>
    <w:lvl w:ilvl="5" w:tplc="DB2E1400">
      <w:start w:val="1"/>
      <w:numFmt w:val="bullet"/>
      <w:lvlText w:val="•"/>
      <w:lvlJc w:val="left"/>
      <w:rPr>
        <w:rFonts w:hint="default"/>
      </w:rPr>
    </w:lvl>
    <w:lvl w:ilvl="6" w:tplc="94620CF0">
      <w:start w:val="1"/>
      <w:numFmt w:val="bullet"/>
      <w:lvlText w:val="•"/>
      <w:lvlJc w:val="left"/>
      <w:rPr>
        <w:rFonts w:hint="default"/>
      </w:rPr>
    </w:lvl>
    <w:lvl w:ilvl="7" w:tplc="B9CA015E">
      <w:start w:val="1"/>
      <w:numFmt w:val="bullet"/>
      <w:lvlText w:val="•"/>
      <w:lvlJc w:val="left"/>
      <w:rPr>
        <w:rFonts w:hint="default"/>
      </w:rPr>
    </w:lvl>
    <w:lvl w:ilvl="8" w:tplc="AE30F58A">
      <w:start w:val="1"/>
      <w:numFmt w:val="bullet"/>
      <w:lvlText w:val="•"/>
      <w:lvlJc w:val="left"/>
      <w:rPr>
        <w:rFonts w:hint="default"/>
      </w:rPr>
    </w:lvl>
  </w:abstractNum>
  <w:abstractNum w:abstractNumId="8" w15:restartNumberingAfterBreak="0">
    <w:nsid w:val="2C725D0D"/>
    <w:multiLevelType w:val="hybridMultilevel"/>
    <w:tmpl w:val="1290A3DC"/>
    <w:lvl w:ilvl="0" w:tplc="003EB996">
      <w:start w:val="1"/>
      <w:numFmt w:val="bullet"/>
      <w:lvlText w:val="-"/>
      <w:lvlJc w:val="left"/>
      <w:pPr>
        <w:ind w:left="720" w:hanging="360"/>
      </w:pPr>
      <w:rPr>
        <w:rFonts w:ascii="Times New Roman" w:eastAsia="Times New Roman" w:hAnsi="Times New Roman"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84EB2"/>
    <w:multiLevelType w:val="multilevel"/>
    <w:tmpl w:val="602CDE3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B0447CB"/>
    <w:multiLevelType w:val="hybridMultilevel"/>
    <w:tmpl w:val="363A95C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CB76614"/>
    <w:multiLevelType w:val="hybridMultilevel"/>
    <w:tmpl w:val="4044D758"/>
    <w:lvl w:ilvl="0" w:tplc="003EB996">
      <w:start w:val="1"/>
      <w:numFmt w:val="bullet"/>
      <w:lvlText w:val="-"/>
      <w:lvlJc w:val="left"/>
      <w:pPr>
        <w:ind w:hanging="567"/>
      </w:pPr>
      <w:rPr>
        <w:rFonts w:ascii="Times New Roman" w:eastAsia="Times New Roman" w:hAnsi="Times New Roman" w:hint="default"/>
        <w:b/>
        <w:bCs/>
        <w:spacing w:val="-1"/>
        <w:sz w:val="24"/>
        <w:szCs w:val="24"/>
      </w:rPr>
    </w:lvl>
    <w:lvl w:ilvl="1" w:tplc="6A12C0EC">
      <w:start w:val="1"/>
      <w:numFmt w:val="bullet"/>
      <w:lvlText w:val="•"/>
      <w:lvlJc w:val="left"/>
      <w:pPr>
        <w:ind w:hanging="360"/>
      </w:pPr>
      <w:rPr>
        <w:rFonts w:ascii="Arial" w:eastAsia="Arial" w:hAnsi="Arial" w:hint="default"/>
        <w:w w:val="131"/>
        <w:sz w:val="24"/>
        <w:szCs w:val="24"/>
      </w:rPr>
    </w:lvl>
    <w:lvl w:ilvl="2" w:tplc="C4C08A68">
      <w:start w:val="1"/>
      <w:numFmt w:val="bullet"/>
      <w:lvlText w:val="•"/>
      <w:lvlJc w:val="left"/>
      <w:pPr>
        <w:ind w:hanging="360"/>
      </w:pPr>
      <w:rPr>
        <w:rFonts w:ascii="Arial" w:eastAsia="Arial" w:hAnsi="Arial" w:hint="default"/>
        <w:w w:val="131"/>
        <w:sz w:val="24"/>
        <w:szCs w:val="24"/>
      </w:rPr>
    </w:lvl>
    <w:lvl w:ilvl="3" w:tplc="588C71F6">
      <w:start w:val="1"/>
      <w:numFmt w:val="bullet"/>
      <w:lvlText w:val="•"/>
      <w:lvlJc w:val="left"/>
      <w:rPr>
        <w:rFonts w:hint="default"/>
      </w:rPr>
    </w:lvl>
    <w:lvl w:ilvl="4" w:tplc="869EE702">
      <w:start w:val="1"/>
      <w:numFmt w:val="bullet"/>
      <w:lvlText w:val="•"/>
      <w:lvlJc w:val="left"/>
      <w:rPr>
        <w:rFonts w:hint="default"/>
      </w:rPr>
    </w:lvl>
    <w:lvl w:ilvl="5" w:tplc="DB2E1400">
      <w:start w:val="1"/>
      <w:numFmt w:val="bullet"/>
      <w:lvlText w:val="•"/>
      <w:lvlJc w:val="left"/>
      <w:rPr>
        <w:rFonts w:hint="default"/>
      </w:rPr>
    </w:lvl>
    <w:lvl w:ilvl="6" w:tplc="94620CF0">
      <w:start w:val="1"/>
      <w:numFmt w:val="bullet"/>
      <w:lvlText w:val="•"/>
      <w:lvlJc w:val="left"/>
      <w:rPr>
        <w:rFonts w:hint="default"/>
      </w:rPr>
    </w:lvl>
    <w:lvl w:ilvl="7" w:tplc="B9CA015E">
      <w:start w:val="1"/>
      <w:numFmt w:val="bullet"/>
      <w:lvlText w:val="•"/>
      <w:lvlJc w:val="left"/>
      <w:rPr>
        <w:rFonts w:hint="default"/>
      </w:rPr>
    </w:lvl>
    <w:lvl w:ilvl="8" w:tplc="AE30F58A">
      <w:start w:val="1"/>
      <w:numFmt w:val="bullet"/>
      <w:lvlText w:val="•"/>
      <w:lvlJc w:val="left"/>
      <w:rPr>
        <w:rFonts w:hint="default"/>
      </w:rPr>
    </w:lvl>
  </w:abstractNum>
  <w:abstractNum w:abstractNumId="12" w15:restartNumberingAfterBreak="0">
    <w:nsid w:val="42D348FA"/>
    <w:multiLevelType w:val="hybridMultilevel"/>
    <w:tmpl w:val="D0BA2BF8"/>
    <w:lvl w:ilvl="0" w:tplc="0C090001">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C37250"/>
    <w:multiLevelType w:val="hybridMultilevel"/>
    <w:tmpl w:val="991C69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DB7480"/>
    <w:multiLevelType w:val="hybridMultilevel"/>
    <w:tmpl w:val="7DAA7BE4"/>
    <w:lvl w:ilvl="0" w:tplc="4998E09C">
      <w:start w:val="6"/>
      <w:numFmt w:val="decimal"/>
      <w:lvlText w:val="%1."/>
      <w:lvlJc w:val="left"/>
      <w:pPr>
        <w:ind w:left="360" w:hanging="360"/>
      </w:pPr>
      <w:rPr>
        <w:rFonts w:ascii="Cambria" w:hAnsi="Cambria" w:cs="Times New Roman" w:hint="default"/>
        <w:sz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A4435CB"/>
    <w:multiLevelType w:val="hybridMultilevel"/>
    <w:tmpl w:val="492EEC90"/>
    <w:lvl w:ilvl="0" w:tplc="C07E3CD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244695"/>
    <w:multiLevelType w:val="hybridMultilevel"/>
    <w:tmpl w:val="B2F63952"/>
    <w:lvl w:ilvl="0" w:tplc="5F221B02">
      <w:start w:val="1"/>
      <w:numFmt w:val="bullet"/>
      <w:pStyle w:val="Policy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541D8A"/>
    <w:multiLevelType w:val="hybridMultilevel"/>
    <w:tmpl w:val="C7386B90"/>
    <w:lvl w:ilvl="0" w:tplc="003EB996">
      <w:start w:val="1"/>
      <w:numFmt w:val="bullet"/>
      <w:lvlText w:val="-"/>
      <w:lvlJc w:val="left"/>
      <w:pPr>
        <w:ind w:left="360" w:hanging="360"/>
      </w:pPr>
      <w:rPr>
        <w:rFonts w:ascii="Times New Roman" w:eastAsia="Times New Roman" w:hAnsi="Times New Roman"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1EF26C9"/>
    <w:multiLevelType w:val="multilevel"/>
    <w:tmpl w:val="F648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CC49D2"/>
    <w:multiLevelType w:val="hybridMultilevel"/>
    <w:tmpl w:val="A1944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4140FF"/>
    <w:multiLevelType w:val="hybridMultilevel"/>
    <w:tmpl w:val="59BABE40"/>
    <w:lvl w:ilvl="0" w:tplc="1EC85570">
      <w:start w:val="1"/>
      <w:numFmt w:val="bullet"/>
      <w:lvlText w:val="•"/>
      <w:lvlJc w:val="left"/>
      <w:pPr>
        <w:ind w:hanging="360"/>
      </w:pPr>
      <w:rPr>
        <w:rFonts w:ascii="Arial" w:eastAsia="Arial" w:hAnsi="Arial" w:hint="default"/>
        <w:w w:val="131"/>
        <w:sz w:val="24"/>
        <w:szCs w:val="24"/>
      </w:rPr>
    </w:lvl>
    <w:lvl w:ilvl="1" w:tplc="003EB996">
      <w:start w:val="1"/>
      <w:numFmt w:val="bullet"/>
      <w:lvlText w:val="-"/>
      <w:lvlJc w:val="left"/>
      <w:pPr>
        <w:ind w:hanging="360"/>
      </w:pPr>
      <w:rPr>
        <w:rFonts w:ascii="Times New Roman" w:eastAsia="Times New Roman" w:hAnsi="Times New Roman" w:hint="default"/>
        <w:sz w:val="24"/>
        <w:szCs w:val="24"/>
      </w:rPr>
    </w:lvl>
    <w:lvl w:ilvl="2" w:tplc="35E87108">
      <w:start w:val="1"/>
      <w:numFmt w:val="bullet"/>
      <w:lvlText w:val="•"/>
      <w:lvlJc w:val="left"/>
      <w:rPr>
        <w:rFonts w:hint="default"/>
      </w:rPr>
    </w:lvl>
    <w:lvl w:ilvl="3" w:tplc="9ADA3320">
      <w:start w:val="1"/>
      <w:numFmt w:val="bullet"/>
      <w:lvlText w:val="•"/>
      <w:lvlJc w:val="left"/>
      <w:rPr>
        <w:rFonts w:hint="default"/>
      </w:rPr>
    </w:lvl>
    <w:lvl w:ilvl="4" w:tplc="BB9A886E">
      <w:start w:val="1"/>
      <w:numFmt w:val="bullet"/>
      <w:lvlText w:val="•"/>
      <w:lvlJc w:val="left"/>
      <w:rPr>
        <w:rFonts w:hint="default"/>
      </w:rPr>
    </w:lvl>
    <w:lvl w:ilvl="5" w:tplc="5EC4E9A0">
      <w:start w:val="1"/>
      <w:numFmt w:val="bullet"/>
      <w:lvlText w:val="•"/>
      <w:lvlJc w:val="left"/>
      <w:rPr>
        <w:rFonts w:hint="default"/>
      </w:rPr>
    </w:lvl>
    <w:lvl w:ilvl="6" w:tplc="553069C2">
      <w:start w:val="1"/>
      <w:numFmt w:val="bullet"/>
      <w:lvlText w:val="•"/>
      <w:lvlJc w:val="left"/>
      <w:rPr>
        <w:rFonts w:hint="default"/>
      </w:rPr>
    </w:lvl>
    <w:lvl w:ilvl="7" w:tplc="BD3EA754">
      <w:start w:val="1"/>
      <w:numFmt w:val="bullet"/>
      <w:lvlText w:val="•"/>
      <w:lvlJc w:val="left"/>
      <w:rPr>
        <w:rFonts w:hint="default"/>
      </w:rPr>
    </w:lvl>
    <w:lvl w:ilvl="8" w:tplc="D294381A">
      <w:start w:val="1"/>
      <w:numFmt w:val="bullet"/>
      <w:lvlText w:val="•"/>
      <w:lvlJc w:val="left"/>
      <w:rPr>
        <w:rFonts w:hint="default"/>
      </w:rPr>
    </w:lvl>
  </w:abstractNum>
  <w:num w:numId="1">
    <w:abstractNumId w:val="18"/>
  </w:num>
  <w:num w:numId="2">
    <w:abstractNumId w:val="10"/>
  </w:num>
  <w:num w:numId="3">
    <w:abstractNumId w:val="19"/>
  </w:num>
  <w:num w:numId="4">
    <w:abstractNumId w:val="6"/>
  </w:num>
  <w:num w:numId="5">
    <w:abstractNumId w:val="14"/>
  </w:num>
  <w:num w:numId="6">
    <w:abstractNumId w:val="0"/>
  </w:num>
  <w:num w:numId="7">
    <w:abstractNumId w:val="4"/>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
  </w:num>
  <w:num w:numId="19">
    <w:abstractNumId w:val="9"/>
  </w:num>
  <w:num w:numId="20">
    <w:abstractNumId w:val="9"/>
  </w:num>
  <w:num w:numId="21">
    <w:abstractNumId w:val="9"/>
  </w:num>
  <w:num w:numId="22">
    <w:abstractNumId w:val="9"/>
  </w:num>
  <w:num w:numId="23">
    <w:abstractNumId w:val="16"/>
  </w:num>
  <w:num w:numId="24">
    <w:abstractNumId w:val="7"/>
  </w:num>
  <w:num w:numId="25">
    <w:abstractNumId w:val="11"/>
  </w:num>
  <w:num w:numId="26">
    <w:abstractNumId w:val="3"/>
  </w:num>
  <w:num w:numId="27">
    <w:abstractNumId w:val="20"/>
  </w:num>
  <w:num w:numId="28">
    <w:abstractNumId w:val="17"/>
  </w:num>
  <w:num w:numId="29">
    <w:abstractNumId w:val="15"/>
  </w:num>
  <w:num w:numId="30">
    <w:abstractNumId w:val="8"/>
  </w:num>
  <w:num w:numId="31">
    <w:abstractNumId w:val="12"/>
  </w:num>
  <w:num w:numId="32">
    <w:abstractNumId w:val="5"/>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ED9"/>
    <w:rsid w:val="000048FD"/>
    <w:rsid w:val="000057D7"/>
    <w:rsid w:val="00005ACC"/>
    <w:rsid w:val="00006E65"/>
    <w:rsid w:val="00007877"/>
    <w:rsid w:val="000172B8"/>
    <w:rsid w:val="00034303"/>
    <w:rsid w:val="00037C7D"/>
    <w:rsid w:val="00037EC2"/>
    <w:rsid w:val="0005170A"/>
    <w:rsid w:val="00055CF5"/>
    <w:rsid w:val="00057FC5"/>
    <w:rsid w:val="00063F18"/>
    <w:rsid w:val="000642A9"/>
    <w:rsid w:val="00066207"/>
    <w:rsid w:val="00066C9A"/>
    <w:rsid w:val="00066D5A"/>
    <w:rsid w:val="000766D2"/>
    <w:rsid w:val="00076C97"/>
    <w:rsid w:val="000813FC"/>
    <w:rsid w:val="000822C1"/>
    <w:rsid w:val="00085913"/>
    <w:rsid w:val="00086167"/>
    <w:rsid w:val="000901C4"/>
    <w:rsid w:val="00091699"/>
    <w:rsid w:val="0009281A"/>
    <w:rsid w:val="00092B4E"/>
    <w:rsid w:val="000A030E"/>
    <w:rsid w:val="000A1EA0"/>
    <w:rsid w:val="000A2F82"/>
    <w:rsid w:val="000A616D"/>
    <w:rsid w:val="000B0724"/>
    <w:rsid w:val="000B14D9"/>
    <w:rsid w:val="000B5F8C"/>
    <w:rsid w:val="000C1088"/>
    <w:rsid w:val="000C5333"/>
    <w:rsid w:val="000D47EC"/>
    <w:rsid w:val="000E78ED"/>
    <w:rsid w:val="000F12BA"/>
    <w:rsid w:val="000F433E"/>
    <w:rsid w:val="00104A8E"/>
    <w:rsid w:val="00105C5A"/>
    <w:rsid w:val="00106496"/>
    <w:rsid w:val="00106F98"/>
    <w:rsid w:val="001135EE"/>
    <w:rsid w:val="00116CEA"/>
    <w:rsid w:val="00121C86"/>
    <w:rsid w:val="00124EA9"/>
    <w:rsid w:val="00131C65"/>
    <w:rsid w:val="00133B26"/>
    <w:rsid w:val="0013445C"/>
    <w:rsid w:val="001433F4"/>
    <w:rsid w:val="00145356"/>
    <w:rsid w:val="00151F89"/>
    <w:rsid w:val="00152224"/>
    <w:rsid w:val="00155326"/>
    <w:rsid w:val="00164D35"/>
    <w:rsid w:val="001661CE"/>
    <w:rsid w:val="00174381"/>
    <w:rsid w:val="00184DA5"/>
    <w:rsid w:val="001927F0"/>
    <w:rsid w:val="0019337A"/>
    <w:rsid w:val="0019670B"/>
    <w:rsid w:val="001978EA"/>
    <w:rsid w:val="001A2B35"/>
    <w:rsid w:val="001A509D"/>
    <w:rsid w:val="001B4197"/>
    <w:rsid w:val="001C0A52"/>
    <w:rsid w:val="001D0B93"/>
    <w:rsid w:val="001D2062"/>
    <w:rsid w:val="001D3922"/>
    <w:rsid w:val="001D5033"/>
    <w:rsid w:val="001D6491"/>
    <w:rsid w:val="001E2367"/>
    <w:rsid w:val="001F2D9B"/>
    <w:rsid w:val="00201620"/>
    <w:rsid w:val="002072AE"/>
    <w:rsid w:val="0021393E"/>
    <w:rsid w:val="00215E62"/>
    <w:rsid w:val="002164C7"/>
    <w:rsid w:val="00217F6E"/>
    <w:rsid w:val="0022030B"/>
    <w:rsid w:val="00224016"/>
    <w:rsid w:val="00232080"/>
    <w:rsid w:val="00236CE9"/>
    <w:rsid w:val="00243B5B"/>
    <w:rsid w:val="00244C5A"/>
    <w:rsid w:val="0024584F"/>
    <w:rsid w:val="0024702C"/>
    <w:rsid w:val="00247DCC"/>
    <w:rsid w:val="00254437"/>
    <w:rsid w:val="002555EA"/>
    <w:rsid w:val="00271BC6"/>
    <w:rsid w:val="00272E9E"/>
    <w:rsid w:val="0028631B"/>
    <w:rsid w:val="002A15A9"/>
    <w:rsid w:val="002A2F52"/>
    <w:rsid w:val="002A4D6A"/>
    <w:rsid w:val="002A784D"/>
    <w:rsid w:val="002C44CB"/>
    <w:rsid w:val="002C4630"/>
    <w:rsid w:val="002D31DD"/>
    <w:rsid w:val="002D6E30"/>
    <w:rsid w:val="002E685F"/>
    <w:rsid w:val="002F752D"/>
    <w:rsid w:val="003025DB"/>
    <w:rsid w:val="003112EA"/>
    <w:rsid w:val="00312A14"/>
    <w:rsid w:val="00314EB6"/>
    <w:rsid w:val="00315433"/>
    <w:rsid w:val="0032446D"/>
    <w:rsid w:val="00333236"/>
    <w:rsid w:val="00345C6C"/>
    <w:rsid w:val="00345FAF"/>
    <w:rsid w:val="00360602"/>
    <w:rsid w:val="003639A0"/>
    <w:rsid w:val="003714F8"/>
    <w:rsid w:val="0037154B"/>
    <w:rsid w:val="0037327D"/>
    <w:rsid w:val="003737B5"/>
    <w:rsid w:val="00380AC5"/>
    <w:rsid w:val="003820F7"/>
    <w:rsid w:val="0038497C"/>
    <w:rsid w:val="00392256"/>
    <w:rsid w:val="00396030"/>
    <w:rsid w:val="00397D94"/>
    <w:rsid w:val="00397DA0"/>
    <w:rsid w:val="003A258D"/>
    <w:rsid w:val="003A27FA"/>
    <w:rsid w:val="003B10B4"/>
    <w:rsid w:val="003B1A96"/>
    <w:rsid w:val="003C062B"/>
    <w:rsid w:val="003C12D2"/>
    <w:rsid w:val="003C4D10"/>
    <w:rsid w:val="003D176C"/>
    <w:rsid w:val="003D4D70"/>
    <w:rsid w:val="003D5966"/>
    <w:rsid w:val="003D6373"/>
    <w:rsid w:val="003E7837"/>
    <w:rsid w:val="003F181F"/>
    <w:rsid w:val="003F3746"/>
    <w:rsid w:val="003F3BA7"/>
    <w:rsid w:val="003F54AA"/>
    <w:rsid w:val="003F5AC5"/>
    <w:rsid w:val="004039D0"/>
    <w:rsid w:val="004056C8"/>
    <w:rsid w:val="00411FA6"/>
    <w:rsid w:val="00415846"/>
    <w:rsid w:val="0041616D"/>
    <w:rsid w:val="00416994"/>
    <w:rsid w:val="004222C0"/>
    <w:rsid w:val="0042241F"/>
    <w:rsid w:val="00422B85"/>
    <w:rsid w:val="00422F3A"/>
    <w:rsid w:val="00437014"/>
    <w:rsid w:val="004373CF"/>
    <w:rsid w:val="004455ED"/>
    <w:rsid w:val="00455780"/>
    <w:rsid w:val="00456D33"/>
    <w:rsid w:val="00457034"/>
    <w:rsid w:val="00465EA3"/>
    <w:rsid w:val="00471C86"/>
    <w:rsid w:val="00476837"/>
    <w:rsid w:val="004809AA"/>
    <w:rsid w:val="004920B2"/>
    <w:rsid w:val="0049272A"/>
    <w:rsid w:val="00492B61"/>
    <w:rsid w:val="004A2869"/>
    <w:rsid w:val="004A31E3"/>
    <w:rsid w:val="004A4CC8"/>
    <w:rsid w:val="004A5594"/>
    <w:rsid w:val="004B09FD"/>
    <w:rsid w:val="004B716F"/>
    <w:rsid w:val="004C5BB6"/>
    <w:rsid w:val="004D1CA0"/>
    <w:rsid w:val="004D5B13"/>
    <w:rsid w:val="004D7489"/>
    <w:rsid w:val="004E0505"/>
    <w:rsid w:val="004E1E85"/>
    <w:rsid w:val="004E2F49"/>
    <w:rsid w:val="004F02E4"/>
    <w:rsid w:val="004F032A"/>
    <w:rsid w:val="004F1D66"/>
    <w:rsid w:val="004F520C"/>
    <w:rsid w:val="004F7F46"/>
    <w:rsid w:val="00501ABD"/>
    <w:rsid w:val="0050460D"/>
    <w:rsid w:val="00506F47"/>
    <w:rsid w:val="005071AF"/>
    <w:rsid w:val="005149DF"/>
    <w:rsid w:val="00515A33"/>
    <w:rsid w:val="00522AAA"/>
    <w:rsid w:val="0052381C"/>
    <w:rsid w:val="00525CCE"/>
    <w:rsid w:val="00527C28"/>
    <w:rsid w:val="00530C68"/>
    <w:rsid w:val="00537AF2"/>
    <w:rsid w:val="00540E64"/>
    <w:rsid w:val="005522D5"/>
    <w:rsid w:val="00553AF3"/>
    <w:rsid w:val="005610D4"/>
    <w:rsid w:val="00564B6B"/>
    <w:rsid w:val="005651DD"/>
    <w:rsid w:val="00566EDE"/>
    <w:rsid w:val="00567FD6"/>
    <w:rsid w:val="0057187B"/>
    <w:rsid w:val="00573270"/>
    <w:rsid w:val="005827B1"/>
    <w:rsid w:val="00587524"/>
    <w:rsid w:val="00592B25"/>
    <w:rsid w:val="00592D68"/>
    <w:rsid w:val="00594916"/>
    <w:rsid w:val="005967B6"/>
    <w:rsid w:val="005976BA"/>
    <w:rsid w:val="005A6378"/>
    <w:rsid w:val="005B359E"/>
    <w:rsid w:val="005B3CE5"/>
    <w:rsid w:val="005B4B30"/>
    <w:rsid w:val="005B78FB"/>
    <w:rsid w:val="005C0275"/>
    <w:rsid w:val="005C0371"/>
    <w:rsid w:val="005F1119"/>
    <w:rsid w:val="005F5543"/>
    <w:rsid w:val="005F65EF"/>
    <w:rsid w:val="005F745B"/>
    <w:rsid w:val="00600DAC"/>
    <w:rsid w:val="00602093"/>
    <w:rsid w:val="00603A97"/>
    <w:rsid w:val="006061CD"/>
    <w:rsid w:val="00610DC3"/>
    <w:rsid w:val="006140A8"/>
    <w:rsid w:val="006164BF"/>
    <w:rsid w:val="0061728B"/>
    <w:rsid w:val="00617F39"/>
    <w:rsid w:val="00626ADD"/>
    <w:rsid w:val="00627F67"/>
    <w:rsid w:val="006309FC"/>
    <w:rsid w:val="00631BBD"/>
    <w:rsid w:val="00632C8A"/>
    <w:rsid w:val="0063352B"/>
    <w:rsid w:val="00636DBC"/>
    <w:rsid w:val="0064128C"/>
    <w:rsid w:val="006506E6"/>
    <w:rsid w:val="00650FA4"/>
    <w:rsid w:val="00652FC5"/>
    <w:rsid w:val="0065540B"/>
    <w:rsid w:val="00656FC9"/>
    <w:rsid w:val="00660B22"/>
    <w:rsid w:val="006651F7"/>
    <w:rsid w:val="00666965"/>
    <w:rsid w:val="00667E7F"/>
    <w:rsid w:val="00675ADC"/>
    <w:rsid w:val="00680E6A"/>
    <w:rsid w:val="00681A93"/>
    <w:rsid w:val="00681E35"/>
    <w:rsid w:val="006849DD"/>
    <w:rsid w:val="006873D3"/>
    <w:rsid w:val="00696785"/>
    <w:rsid w:val="006A1A93"/>
    <w:rsid w:val="006A3E46"/>
    <w:rsid w:val="006A52CA"/>
    <w:rsid w:val="006A6F7F"/>
    <w:rsid w:val="006B1884"/>
    <w:rsid w:val="006B22A7"/>
    <w:rsid w:val="006B2CDD"/>
    <w:rsid w:val="006B7226"/>
    <w:rsid w:val="006C1226"/>
    <w:rsid w:val="006C5D75"/>
    <w:rsid w:val="006D1956"/>
    <w:rsid w:val="006E7734"/>
    <w:rsid w:val="006F132A"/>
    <w:rsid w:val="00704263"/>
    <w:rsid w:val="00711988"/>
    <w:rsid w:val="007201B7"/>
    <w:rsid w:val="007217B7"/>
    <w:rsid w:val="00722E71"/>
    <w:rsid w:val="00723151"/>
    <w:rsid w:val="0072440B"/>
    <w:rsid w:val="00726669"/>
    <w:rsid w:val="00730087"/>
    <w:rsid w:val="0073012D"/>
    <w:rsid w:val="00733D2B"/>
    <w:rsid w:val="00734C88"/>
    <w:rsid w:val="00737B4E"/>
    <w:rsid w:val="0074212F"/>
    <w:rsid w:val="00742EDF"/>
    <w:rsid w:val="007435E5"/>
    <w:rsid w:val="00745316"/>
    <w:rsid w:val="00745E0F"/>
    <w:rsid w:val="00750AA5"/>
    <w:rsid w:val="0075138C"/>
    <w:rsid w:val="00760996"/>
    <w:rsid w:val="007658B1"/>
    <w:rsid w:val="00772ED9"/>
    <w:rsid w:val="00773A4C"/>
    <w:rsid w:val="00775520"/>
    <w:rsid w:val="00781EA1"/>
    <w:rsid w:val="007831E5"/>
    <w:rsid w:val="007854AB"/>
    <w:rsid w:val="007854F9"/>
    <w:rsid w:val="0078565C"/>
    <w:rsid w:val="00791E4A"/>
    <w:rsid w:val="007A3755"/>
    <w:rsid w:val="007A44F0"/>
    <w:rsid w:val="007A6797"/>
    <w:rsid w:val="007B0279"/>
    <w:rsid w:val="007B3576"/>
    <w:rsid w:val="007B7629"/>
    <w:rsid w:val="007C0288"/>
    <w:rsid w:val="007C396F"/>
    <w:rsid w:val="007D3D39"/>
    <w:rsid w:val="007D57C4"/>
    <w:rsid w:val="007D671B"/>
    <w:rsid w:val="007E4EBE"/>
    <w:rsid w:val="007F2E34"/>
    <w:rsid w:val="007F3E88"/>
    <w:rsid w:val="007F563B"/>
    <w:rsid w:val="007F7F58"/>
    <w:rsid w:val="008039A4"/>
    <w:rsid w:val="008055D8"/>
    <w:rsid w:val="00807007"/>
    <w:rsid w:val="008077E4"/>
    <w:rsid w:val="00813B93"/>
    <w:rsid w:val="00813D0C"/>
    <w:rsid w:val="00822C36"/>
    <w:rsid w:val="00836FAD"/>
    <w:rsid w:val="0083761A"/>
    <w:rsid w:val="00840214"/>
    <w:rsid w:val="008424BC"/>
    <w:rsid w:val="008451A7"/>
    <w:rsid w:val="00851293"/>
    <w:rsid w:val="00854CBA"/>
    <w:rsid w:val="00860661"/>
    <w:rsid w:val="008632CB"/>
    <w:rsid w:val="008710B3"/>
    <w:rsid w:val="0087263D"/>
    <w:rsid w:val="00872653"/>
    <w:rsid w:val="00874871"/>
    <w:rsid w:val="0088060B"/>
    <w:rsid w:val="00880AA1"/>
    <w:rsid w:val="008A713A"/>
    <w:rsid w:val="008A7A6E"/>
    <w:rsid w:val="008B0DAB"/>
    <w:rsid w:val="008B0EE0"/>
    <w:rsid w:val="008B0FBD"/>
    <w:rsid w:val="008B36E5"/>
    <w:rsid w:val="008B3FD4"/>
    <w:rsid w:val="008B4239"/>
    <w:rsid w:val="008B4BA4"/>
    <w:rsid w:val="008C45F1"/>
    <w:rsid w:val="008D6B18"/>
    <w:rsid w:val="008D760A"/>
    <w:rsid w:val="008E5065"/>
    <w:rsid w:val="008F3A4B"/>
    <w:rsid w:val="008F54D8"/>
    <w:rsid w:val="00900E02"/>
    <w:rsid w:val="00904945"/>
    <w:rsid w:val="009067BC"/>
    <w:rsid w:val="00910476"/>
    <w:rsid w:val="00911E3A"/>
    <w:rsid w:val="00924A27"/>
    <w:rsid w:val="00924E6E"/>
    <w:rsid w:val="00927783"/>
    <w:rsid w:val="00936D9F"/>
    <w:rsid w:val="009402EE"/>
    <w:rsid w:val="009403F2"/>
    <w:rsid w:val="0094503B"/>
    <w:rsid w:val="0095329F"/>
    <w:rsid w:val="00960C77"/>
    <w:rsid w:val="00965BBA"/>
    <w:rsid w:val="009668D1"/>
    <w:rsid w:val="00980324"/>
    <w:rsid w:val="00980FD9"/>
    <w:rsid w:val="0098222A"/>
    <w:rsid w:val="00982835"/>
    <w:rsid w:val="00983AE0"/>
    <w:rsid w:val="009849E9"/>
    <w:rsid w:val="009A3021"/>
    <w:rsid w:val="009A589C"/>
    <w:rsid w:val="009A5A17"/>
    <w:rsid w:val="009A76AE"/>
    <w:rsid w:val="009B0267"/>
    <w:rsid w:val="009C0C57"/>
    <w:rsid w:val="009D6420"/>
    <w:rsid w:val="009E2038"/>
    <w:rsid w:val="009E445D"/>
    <w:rsid w:val="009E4961"/>
    <w:rsid w:val="009E7352"/>
    <w:rsid w:val="00A010D3"/>
    <w:rsid w:val="00A027BB"/>
    <w:rsid w:val="00A02878"/>
    <w:rsid w:val="00A034CA"/>
    <w:rsid w:val="00A037CF"/>
    <w:rsid w:val="00A07FD8"/>
    <w:rsid w:val="00A36247"/>
    <w:rsid w:val="00A420B0"/>
    <w:rsid w:val="00A46779"/>
    <w:rsid w:val="00A63D48"/>
    <w:rsid w:val="00A6762C"/>
    <w:rsid w:val="00A7190F"/>
    <w:rsid w:val="00A754A7"/>
    <w:rsid w:val="00A83DC4"/>
    <w:rsid w:val="00A84370"/>
    <w:rsid w:val="00A86E5C"/>
    <w:rsid w:val="00A87CC4"/>
    <w:rsid w:val="00A927B1"/>
    <w:rsid w:val="00A93FA6"/>
    <w:rsid w:val="00A957C8"/>
    <w:rsid w:val="00A95EC9"/>
    <w:rsid w:val="00AA5DE8"/>
    <w:rsid w:val="00AA7721"/>
    <w:rsid w:val="00AB3236"/>
    <w:rsid w:val="00AB33A9"/>
    <w:rsid w:val="00AC241B"/>
    <w:rsid w:val="00AC35F3"/>
    <w:rsid w:val="00AC3A6E"/>
    <w:rsid w:val="00AD1458"/>
    <w:rsid w:val="00AE4FC8"/>
    <w:rsid w:val="00AE53F3"/>
    <w:rsid w:val="00AE72E5"/>
    <w:rsid w:val="00AE777A"/>
    <w:rsid w:val="00AF009F"/>
    <w:rsid w:val="00AF0BF9"/>
    <w:rsid w:val="00AF3A2F"/>
    <w:rsid w:val="00AF6FEB"/>
    <w:rsid w:val="00B0604B"/>
    <w:rsid w:val="00B12EC1"/>
    <w:rsid w:val="00B1775B"/>
    <w:rsid w:val="00B236CD"/>
    <w:rsid w:val="00B2409C"/>
    <w:rsid w:val="00B25B67"/>
    <w:rsid w:val="00B30D10"/>
    <w:rsid w:val="00B325C9"/>
    <w:rsid w:val="00B35AB7"/>
    <w:rsid w:val="00B367AF"/>
    <w:rsid w:val="00B4067E"/>
    <w:rsid w:val="00B50294"/>
    <w:rsid w:val="00B51065"/>
    <w:rsid w:val="00B5253F"/>
    <w:rsid w:val="00B548AD"/>
    <w:rsid w:val="00B6106F"/>
    <w:rsid w:val="00B63E3F"/>
    <w:rsid w:val="00B65898"/>
    <w:rsid w:val="00B70F30"/>
    <w:rsid w:val="00B741B5"/>
    <w:rsid w:val="00B76845"/>
    <w:rsid w:val="00B9405B"/>
    <w:rsid w:val="00B958B6"/>
    <w:rsid w:val="00B95EED"/>
    <w:rsid w:val="00B97A36"/>
    <w:rsid w:val="00BA1487"/>
    <w:rsid w:val="00BA3962"/>
    <w:rsid w:val="00BA3F10"/>
    <w:rsid w:val="00BB5D2F"/>
    <w:rsid w:val="00BB6BCE"/>
    <w:rsid w:val="00BC42B4"/>
    <w:rsid w:val="00BC457D"/>
    <w:rsid w:val="00BD3842"/>
    <w:rsid w:val="00BD7404"/>
    <w:rsid w:val="00BE5250"/>
    <w:rsid w:val="00C054D4"/>
    <w:rsid w:val="00C13068"/>
    <w:rsid w:val="00C1310C"/>
    <w:rsid w:val="00C15E9F"/>
    <w:rsid w:val="00C22780"/>
    <w:rsid w:val="00C228EC"/>
    <w:rsid w:val="00C23E9E"/>
    <w:rsid w:val="00C25EBF"/>
    <w:rsid w:val="00C35EE9"/>
    <w:rsid w:val="00C43543"/>
    <w:rsid w:val="00C4738E"/>
    <w:rsid w:val="00C50077"/>
    <w:rsid w:val="00C55B91"/>
    <w:rsid w:val="00C64BCA"/>
    <w:rsid w:val="00C808B6"/>
    <w:rsid w:val="00C86876"/>
    <w:rsid w:val="00C875C2"/>
    <w:rsid w:val="00C91A2B"/>
    <w:rsid w:val="00C92106"/>
    <w:rsid w:val="00C92783"/>
    <w:rsid w:val="00C96374"/>
    <w:rsid w:val="00CA2B5A"/>
    <w:rsid w:val="00CB37CD"/>
    <w:rsid w:val="00CB7B42"/>
    <w:rsid w:val="00CD2944"/>
    <w:rsid w:val="00CD2946"/>
    <w:rsid w:val="00CD5B2B"/>
    <w:rsid w:val="00CD6DA9"/>
    <w:rsid w:val="00CE03B8"/>
    <w:rsid w:val="00CE7CA9"/>
    <w:rsid w:val="00CF5409"/>
    <w:rsid w:val="00D00E8C"/>
    <w:rsid w:val="00D0172E"/>
    <w:rsid w:val="00D0314D"/>
    <w:rsid w:val="00D06175"/>
    <w:rsid w:val="00D07712"/>
    <w:rsid w:val="00D12437"/>
    <w:rsid w:val="00D128BB"/>
    <w:rsid w:val="00D154F6"/>
    <w:rsid w:val="00D24212"/>
    <w:rsid w:val="00D33E67"/>
    <w:rsid w:val="00D36CA4"/>
    <w:rsid w:val="00D414A8"/>
    <w:rsid w:val="00D4164E"/>
    <w:rsid w:val="00D431B7"/>
    <w:rsid w:val="00D47E46"/>
    <w:rsid w:val="00D50FF9"/>
    <w:rsid w:val="00D53953"/>
    <w:rsid w:val="00D74AEA"/>
    <w:rsid w:val="00D750B8"/>
    <w:rsid w:val="00D76765"/>
    <w:rsid w:val="00D77745"/>
    <w:rsid w:val="00D810BF"/>
    <w:rsid w:val="00D83C10"/>
    <w:rsid w:val="00D8409B"/>
    <w:rsid w:val="00D8411A"/>
    <w:rsid w:val="00D9555F"/>
    <w:rsid w:val="00D978A0"/>
    <w:rsid w:val="00D97F0F"/>
    <w:rsid w:val="00DA1569"/>
    <w:rsid w:val="00DA35CC"/>
    <w:rsid w:val="00DA52AF"/>
    <w:rsid w:val="00DA59BC"/>
    <w:rsid w:val="00DA5A9F"/>
    <w:rsid w:val="00DA5C96"/>
    <w:rsid w:val="00DA6513"/>
    <w:rsid w:val="00DB0172"/>
    <w:rsid w:val="00DB1423"/>
    <w:rsid w:val="00DB35F3"/>
    <w:rsid w:val="00DB5CBE"/>
    <w:rsid w:val="00DC1CE2"/>
    <w:rsid w:val="00DC34A5"/>
    <w:rsid w:val="00DC57F5"/>
    <w:rsid w:val="00DC717B"/>
    <w:rsid w:val="00DE233C"/>
    <w:rsid w:val="00DE5ACF"/>
    <w:rsid w:val="00DE6A32"/>
    <w:rsid w:val="00E038CA"/>
    <w:rsid w:val="00E04783"/>
    <w:rsid w:val="00E11E30"/>
    <w:rsid w:val="00E12919"/>
    <w:rsid w:val="00E17582"/>
    <w:rsid w:val="00E2053D"/>
    <w:rsid w:val="00E25097"/>
    <w:rsid w:val="00E2534B"/>
    <w:rsid w:val="00E27DCC"/>
    <w:rsid w:val="00E32E96"/>
    <w:rsid w:val="00E43162"/>
    <w:rsid w:val="00E512EF"/>
    <w:rsid w:val="00E527F2"/>
    <w:rsid w:val="00E52DB1"/>
    <w:rsid w:val="00E57E1D"/>
    <w:rsid w:val="00E61281"/>
    <w:rsid w:val="00E66D5C"/>
    <w:rsid w:val="00E67138"/>
    <w:rsid w:val="00E70889"/>
    <w:rsid w:val="00E73AA9"/>
    <w:rsid w:val="00E9528D"/>
    <w:rsid w:val="00E96809"/>
    <w:rsid w:val="00EA1C4F"/>
    <w:rsid w:val="00EA5DDF"/>
    <w:rsid w:val="00EA5F6C"/>
    <w:rsid w:val="00EB06B5"/>
    <w:rsid w:val="00EC2CB7"/>
    <w:rsid w:val="00EC4DB3"/>
    <w:rsid w:val="00ED08A9"/>
    <w:rsid w:val="00ED15B0"/>
    <w:rsid w:val="00ED49AC"/>
    <w:rsid w:val="00ED5BDA"/>
    <w:rsid w:val="00ED7D80"/>
    <w:rsid w:val="00EF4D6D"/>
    <w:rsid w:val="00F1026B"/>
    <w:rsid w:val="00F10F59"/>
    <w:rsid w:val="00F113CA"/>
    <w:rsid w:val="00F12107"/>
    <w:rsid w:val="00F22DF9"/>
    <w:rsid w:val="00F23E79"/>
    <w:rsid w:val="00F31059"/>
    <w:rsid w:val="00F33EB0"/>
    <w:rsid w:val="00F407CF"/>
    <w:rsid w:val="00F44D06"/>
    <w:rsid w:val="00F44FDD"/>
    <w:rsid w:val="00F471C4"/>
    <w:rsid w:val="00F514B0"/>
    <w:rsid w:val="00F51CB2"/>
    <w:rsid w:val="00F5265B"/>
    <w:rsid w:val="00F66AA7"/>
    <w:rsid w:val="00F67317"/>
    <w:rsid w:val="00F80543"/>
    <w:rsid w:val="00F818AF"/>
    <w:rsid w:val="00F824A7"/>
    <w:rsid w:val="00F831D1"/>
    <w:rsid w:val="00F833E5"/>
    <w:rsid w:val="00FA6474"/>
    <w:rsid w:val="00FB4D45"/>
    <w:rsid w:val="00FB4FB3"/>
    <w:rsid w:val="00FB732F"/>
    <w:rsid w:val="00FC547F"/>
    <w:rsid w:val="00FC5B31"/>
    <w:rsid w:val="00FD24BA"/>
    <w:rsid w:val="00FD2EAD"/>
    <w:rsid w:val="00FD7763"/>
    <w:rsid w:val="00FE00D9"/>
    <w:rsid w:val="00FE3C2C"/>
    <w:rsid w:val="00FE74AB"/>
    <w:rsid w:val="00FF2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76D9FD"/>
  <w15:chartTrackingRefBased/>
  <w15:docId w15:val="{710E19C2-6D9C-4A26-A9AD-A7E836AE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EC1"/>
    <w:rPr>
      <w:sz w:val="24"/>
      <w:szCs w:val="24"/>
    </w:rPr>
  </w:style>
  <w:style w:type="paragraph" w:styleId="Heading1">
    <w:name w:val="heading 1"/>
    <w:basedOn w:val="Normal"/>
    <w:next w:val="Normal"/>
    <w:link w:val="Heading1Char"/>
    <w:qFormat/>
    <w:rsid w:val="00FE74AB"/>
    <w:pPr>
      <w:keepNext/>
      <w:numPr>
        <w:numId w:val="8"/>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512EF"/>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E512EF"/>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A5DDF"/>
    <w:pPr>
      <w:keepNext/>
      <w:keepLines/>
      <w:numPr>
        <w:ilvl w:val="3"/>
        <w:numId w:val="8"/>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EA5DDF"/>
    <w:pPr>
      <w:keepNext/>
      <w:keepLines/>
      <w:numPr>
        <w:ilvl w:val="4"/>
        <w:numId w:val="8"/>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EA5DDF"/>
    <w:pPr>
      <w:keepNext/>
      <w:keepLines/>
      <w:numPr>
        <w:ilvl w:val="5"/>
        <w:numId w:val="8"/>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EA5DDF"/>
    <w:pPr>
      <w:keepNext/>
      <w:keepLines/>
      <w:numPr>
        <w:ilvl w:val="6"/>
        <w:numId w:val="8"/>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EA5DDF"/>
    <w:pPr>
      <w:keepNext/>
      <w:keepLines/>
      <w:numPr>
        <w:ilvl w:val="7"/>
        <w:numId w:val="8"/>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EA5DDF"/>
    <w:pPr>
      <w:keepNext/>
      <w:keepLines/>
      <w:numPr>
        <w:ilvl w:val="8"/>
        <w:numId w:val="8"/>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C5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244C5A"/>
    <w:rPr>
      <w:rFonts w:cs="Times New Roman"/>
      <w:color w:val="auto"/>
    </w:rPr>
  </w:style>
  <w:style w:type="paragraph" w:customStyle="1" w:styleId="CM37">
    <w:name w:val="CM37"/>
    <w:basedOn w:val="Default"/>
    <w:next w:val="Default"/>
    <w:rsid w:val="00244C5A"/>
    <w:pPr>
      <w:spacing w:after="123"/>
    </w:pPr>
    <w:rPr>
      <w:rFonts w:cs="Times New Roman"/>
      <w:color w:val="auto"/>
    </w:rPr>
  </w:style>
  <w:style w:type="paragraph" w:customStyle="1" w:styleId="CM38">
    <w:name w:val="CM38"/>
    <w:basedOn w:val="Default"/>
    <w:next w:val="Default"/>
    <w:rsid w:val="00244C5A"/>
    <w:pPr>
      <w:spacing w:after="240"/>
    </w:pPr>
    <w:rPr>
      <w:rFonts w:cs="Times New Roman"/>
      <w:color w:val="auto"/>
    </w:rPr>
  </w:style>
  <w:style w:type="paragraph" w:customStyle="1" w:styleId="CM3">
    <w:name w:val="CM3"/>
    <w:basedOn w:val="Default"/>
    <w:next w:val="Default"/>
    <w:rsid w:val="00244C5A"/>
    <w:pPr>
      <w:spacing w:line="253" w:lineRule="atLeast"/>
    </w:pPr>
    <w:rPr>
      <w:rFonts w:cs="Times New Roman"/>
      <w:color w:val="auto"/>
    </w:rPr>
  </w:style>
  <w:style w:type="paragraph" w:customStyle="1" w:styleId="CM41">
    <w:name w:val="CM41"/>
    <w:basedOn w:val="Default"/>
    <w:next w:val="Default"/>
    <w:rsid w:val="00244C5A"/>
    <w:pPr>
      <w:spacing w:after="360"/>
    </w:pPr>
    <w:rPr>
      <w:rFonts w:cs="Times New Roman"/>
      <w:color w:val="auto"/>
    </w:rPr>
  </w:style>
  <w:style w:type="paragraph" w:customStyle="1" w:styleId="CM45">
    <w:name w:val="CM45"/>
    <w:basedOn w:val="Default"/>
    <w:next w:val="Default"/>
    <w:rsid w:val="00244C5A"/>
    <w:pPr>
      <w:spacing w:after="2713"/>
    </w:pPr>
    <w:rPr>
      <w:rFonts w:cs="Times New Roman"/>
      <w:color w:val="auto"/>
    </w:rPr>
  </w:style>
  <w:style w:type="paragraph" w:customStyle="1" w:styleId="CM46">
    <w:name w:val="CM46"/>
    <w:basedOn w:val="Default"/>
    <w:next w:val="Default"/>
    <w:rsid w:val="00244C5A"/>
    <w:pPr>
      <w:spacing w:after="7235"/>
    </w:pPr>
    <w:rPr>
      <w:rFonts w:cs="Times New Roman"/>
      <w:color w:val="auto"/>
    </w:rPr>
  </w:style>
  <w:style w:type="paragraph" w:customStyle="1" w:styleId="CM47">
    <w:name w:val="CM47"/>
    <w:basedOn w:val="Default"/>
    <w:next w:val="Default"/>
    <w:rsid w:val="00244C5A"/>
    <w:pPr>
      <w:spacing w:after="313"/>
    </w:pPr>
    <w:rPr>
      <w:rFonts w:cs="Times New Roman"/>
      <w:color w:val="auto"/>
    </w:rPr>
  </w:style>
  <w:style w:type="table" w:styleId="TableGrid">
    <w:name w:val="Table Grid"/>
    <w:basedOn w:val="TableNormal"/>
    <w:rsid w:val="0024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4C5A"/>
    <w:rPr>
      <w:rFonts w:ascii="Tahoma" w:hAnsi="Tahoma" w:cs="Tahoma"/>
      <w:sz w:val="16"/>
      <w:szCs w:val="16"/>
    </w:rPr>
  </w:style>
  <w:style w:type="character" w:styleId="CommentReference">
    <w:name w:val="annotation reference"/>
    <w:semiHidden/>
    <w:rsid w:val="00791E4A"/>
    <w:rPr>
      <w:sz w:val="16"/>
      <w:szCs w:val="16"/>
    </w:rPr>
  </w:style>
  <w:style w:type="paragraph" w:styleId="CommentText">
    <w:name w:val="annotation text"/>
    <w:basedOn w:val="Normal"/>
    <w:semiHidden/>
    <w:rsid w:val="00791E4A"/>
    <w:rPr>
      <w:sz w:val="20"/>
      <w:szCs w:val="20"/>
    </w:rPr>
  </w:style>
  <w:style w:type="paragraph" w:styleId="CommentSubject">
    <w:name w:val="annotation subject"/>
    <w:basedOn w:val="CommentText"/>
    <w:next w:val="CommentText"/>
    <w:semiHidden/>
    <w:rsid w:val="00791E4A"/>
    <w:rPr>
      <w:b/>
      <w:bCs/>
    </w:rPr>
  </w:style>
  <w:style w:type="paragraph" w:styleId="EndnoteText">
    <w:name w:val="endnote text"/>
    <w:basedOn w:val="Normal"/>
    <w:link w:val="EndnoteTextChar"/>
    <w:rsid w:val="00773A4C"/>
    <w:rPr>
      <w:sz w:val="20"/>
      <w:szCs w:val="20"/>
    </w:rPr>
  </w:style>
  <w:style w:type="character" w:styleId="EndnoteReference">
    <w:name w:val="endnote reference"/>
    <w:rsid w:val="00773A4C"/>
    <w:rPr>
      <w:vertAlign w:val="superscript"/>
    </w:rPr>
  </w:style>
  <w:style w:type="paragraph" w:styleId="Header">
    <w:name w:val="header"/>
    <w:basedOn w:val="Normal"/>
    <w:rsid w:val="00773A4C"/>
    <w:pPr>
      <w:tabs>
        <w:tab w:val="center" w:pos="4153"/>
        <w:tab w:val="right" w:pos="8306"/>
      </w:tabs>
    </w:pPr>
  </w:style>
  <w:style w:type="paragraph" w:styleId="Footer">
    <w:name w:val="footer"/>
    <w:basedOn w:val="Normal"/>
    <w:link w:val="FooterChar"/>
    <w:uiPriority w:val="99"/>
    <w:rsid w:val="00773A4C"/>
    <w:pPr>
      <w:tabs>
        <w:tab w:val="center" w:pos="4153"/>
        <w:tab w:val="right" w:pos="8306"/>
      </w:tabs>
    </w:pPr>
  </w:style>
  <w:style w:type="character" w:styleId="PageNumber">
    <w:name w:val="page number"/>
    <w:basedOn w:val="DefaultParagraphFont"/>
    <w:rsid w:val="00773A4C"/>
  </w:style>
  <w:style w:type="paragraph" w:styleId="TOC1">
    <w:name w:val="toc 1"/>
    <w:basedOn w:val="Normal"/>
    <w:next w:val="Normal"/>
    <w:autoRedefine/>
    <w:uiPriority w:val="39"/>
    <w:rsid w:val="00FE74AB"/>
    <w:rPr>
      <w:rFonts w:ascii="Arial" w:hAnsi="Arial"/>
    </w:rPr>
  </w:style>
  <w:style w:type="character" w:styleId="Hyperlink">
    <w:name w:val="Hyperlink"/>
    <w:uiPriority w:val="99"/>
    <w:rsid w:val="00CD5B2B"/>
    <w:rPr>
      <w:color w:val="0000FF"/>
      <w:u w:val="single"/>
    </w:rPr>
  </w:style>
  <w:style w:type="paragraph" w:styleId="TOC3">
    <w:name w:val="toc 3"/>
    <w:basedOn w:val="Normal"/>
    <w:next w:val="Normal"/>
    <w:autoRedefine/>
    <w:uiPriority w:val="39"/>
    <w:rsid w:val="00B1775B"/>
    <w:pPr>
      <w:tabs>
        <w:tab w:val="right" w:leader="dot" w:pos="9628"/>
      </w:tabs>
    </w:pPr>
    <w:rPr>
      <w:lang w:eastAsia="en-US"/>
    </w:rPr>
  </w:style>
  <w:style w:type="character" w:styleId="FollowedHyperlink">
    <w:name w:val="FollowedHyperlink"/>
    <w:rsid w:val="00B1775B"/>
    <w:rPr>
      <w:color w:val="800080"/>
      <w:u w:val="single"/>
    </w:rPr>
  </w:style>
  <w:style w:type="character" w:customStyle="1" w:styleId="unicode1">
    <w:name w:val="unicode1"/>
    <w:rsid w:val="008B36E5"/>
    <w:rPr>
      <w:rFonts w:ascii="Arial Unicode MS" w:eastAsia="Arial Unicode MS" w:hAnsi="Arial Unicode MS" w:cs="Arial Unicode MS" w:hint="eastAsia"/>
    </w:rPr>
  </w:style>
  <w:style w:type="paragraph" w:styleId="TOC2">
    <w:name w:val="toc 2"/>
    <w:basedOn w:val="Normal"/>
    <w:next w:val="Normal"/>
    <w:autoRedefine/>
    <w:uiPriority w:val="39"/>
    <w:rsid w:val="00E9528D"/>
    <w:pPr>
      <w:tabs>
        <w:tab w:val="right" w:leader="dot" w:pos="9628"/>
      </w:tabs>
    </w:pPr>
  </w:style>
  <w:style w:type="character" w:customStyle="1" w:styleId="Heading1Char">
    <w:name w:val="Heading 1 Char"/>
    <w:link w:val="Heading1"/>
    <w:rsid w:val="00FE74AB"/>
    <w:rPr>
      <w:rFonts w:ascii="Cambria" w:hAnsi="Cambria"/>
      <w:b/>
      <w:bCs/>
      <w:kern w:val="32"/>
      <w:sz w:val="32"/>
      <w:szCs w:val="32"/>
    </w:rPr>
  </w:style>
  <w:style w:type="paragraph" w:styleId="TOCHeading">
    <w:name w:val="TOC Heading"/>
    <w:basedOn w:val="Heading1"/>
    <w:next w:val="Normal"/>
    <w:uiPriority w:val="39"/>
    <w:semiHidden/>
    <w:unhideWhenUsed/>
    <w:qFormat/>
    <w:rsid w:val="00FE74AB"/>
    <w:pPr>
      <w:keepLines/>
      <w:spacing w:before="480" w:after="0" w:line="276" w:lineRule="auto"/>
      <w:outlineLvl w:val="9"/>
    </w:pPr>
    <w:rPr>
      <w:color w:val="365F91"/>
      <w:kern w:val="0"/>
      <w:sz w:val="28"/>
      <w:szCs w:val="28"/>
      <w:lang w:val="en-US" w:eastAsia="en-US"/>
    </w:rPr>
  </w:style>
  <w:style w:type="character" w:customStyle="1" w:styleId="Heading4Char">
    <w:name w:val="Heading 4 Char"/>
    <w:link w:val="Heading4"/>
    <w:semiHidden/>
    <w:rsid w:val="00EA5DDF"/>
    <w:rPr>
      <w:rFonts w:ascii="Cambria" w:eastAsia="Times New Roman" w:hAnsi="Cambria" w:cs="Times New Roman"/>
      <w:b/>
      <w:bCs/>
      <w:i/>
      <w:iCs/>
      <w:color w:val="4F81BD"/>
      <w:sz w:val="24"/>
      <w:szCs w:val="24"/>
    </w:rPr>
  </w:style>
  <w:style w:type="character" w:customStyle="1" w:styleId="Heading5Char">
    <w:name w:val="Heading 5 Char"/>
    <w:link w:val="Heading5"/>
    <w:semiHidden/>
    <w:rsid w:val="00EA5DDF"/>
    <w:rPr>
      <w:rFonts w:ascii="Cambria" w:eastAsia="Times New Roman" w:hAnsi="Cambria" w:cs="Times New Roman"/>
      <w:color w:val="243F60"/>
      <w:sz w:val="24"/>
      <w:szCs w:val="24"/>
    </w:rPr>
  </w:style>
  <w:style w:type="character" w:customStyle="1" w:styleId="Heading6Char">
    <w:name w:val="Heading 6 Char"/>
    <w:link w:val="Heading6"/>
    <w:semiHidden/>
    <w:rsid w:val="00EA5DDF"/>
    <w:rPr>
      <w:rFonts w:ascii="Cambria" w:eastAsia="Times New Roman" w:hAnsi="Cambria" w:cs="Times New Roman"/>
      <w:i/>
      <w:iCs/>
      <w:color w:val="243F60"/>
      <w:sz w:val="24"/>
      <w:szCs w:val="24"/>
    </w:rPr>
  </w:style>
  <w:style w:type="character" w:customStyle="1" w:styleId="Heading7Char">
    <w:name w:val="Heading 7 Char"/>
    <w:link w:val="Heading7"/>
    <w:semiHidden/>
    <w:rsid w:val="00EA5DDF"/>
    <w:rPr>
      <w:rFonts w:ascii="Cambria" w:eastAsia="Times New Roman" w:hAnsi="Cambria" w:cs="Times New Roman"/>
      <w:i/>
      <w:iCs/>
      <w:color w:val="404040"/>
      <w:sz w:val="24"/>
      <w:szCs w:val="24"/>
    </w:rPr>
  </w:style>
  <w:style w:type="character" w:customStyle="1" w:styleId="Heading8Char">
    <w:name w:val="Heading 8 Char"/>
    <w:link w:val="Heading8"/>
    <w:semiHidden/>
    <w:rsid w:val="00EA5DDF"/>
    <w:rPr>
      <w:rFonts w:ascii="Cambria" w:eastAsia="Times New Roman" w:hAnsi="Cambria" w:cs="Times New Roman"/>
      <w:color w:val="404040"/>
    </w:rPr>
  </w:style>
  <w:style w:type="character" w:customStyle="1" w:styleId="Heading9Char">
    <w:name w:val="Heading 9 Char"/>
    <w:link w:val="Heading9"/>
    <w:semiHidden/>
    <w:rsid w:val="00EA5DDF"/>
    <w:rPr>
      <w:rFonts w:ascii="Cambria" w:eastAsia="Times New Roman" w:hAnsi="Cambria" w:cs="Times New Roman"/>
      <w:i/>
      <w:iCs/>
      <w:color w:val="404040"/>
    </w:rPr>
  </w:style>
  <w:style w:type="paragraph" w:styleId="ListParagraph">
    <w:name w:val="List Paragraph"/>
    <w:basedOn w:val="Normal"/>
    <w:uiPriority w:val="34"/>
    <w:qFormat/>
    <w:rsid w:val="00D414A8"/>
    <w:pPr>
      <w:ind w:left="720"/>
      <w:contextualSpacing/>
    </w:pPr>
  </w:style>
  <w:style w:type="character" w:styleId="PlaceholderText">
    <w:name w:val="Placeholder Text"/>
    <w:uiPriority w:val="99"/>
    <w:semiHidden/>
    <w:rsid w:val="00D414A8"/>
    <w:rPr>
      <w:color w:val="808080"/>
    </w:rPr>
  </w:style>
  <w:style w:type="paragraph" w:customStyle="1" w:styleId="Policybodytext">
    <w:name w:val="Policy body text"/>
    <w:link w:val="PolicybodytextChar"/>
    <w:qFormat/>
    <w:rsid w:val="00EC4DB3"/>
    <w:pPr>
      <w:spacing w:before="120" w:after="120"/>
    </w:pPr>
    <w:rPr>
      <w:rFonts w:ascii="Arial" w:hAnsi="Arial" w:cs="Arial"/>
      <w:bCs/>
      <w:sz w:val="22"/>
      <w:szCs w:val="22"/>
    </w:rPr>
  </w:style>
  <w:style w:type="paragraph" w:customStyle="1" w:styleId="PolicyTabletext">
    <w:name w:val="Policy Table text"/>
    <w:next w:val="Normal"/>
    <w:qFormat/>
    <w:rsid w:val="00EC4DB3"/>
    <w:pPr>
      <w:spacing w:before="40" w:after="40"/>
    </w:pPr>
    <w:rPr>
      <w:rFonts w:ascii="Arial" w:hAnsi="Arial" w:cs="Arial"/>
      <w:bCs/>
      <w:sz w:val="22"/>
      <w:szCs w:val="22"/>
    </w:rPr>
  </w:style>
  <w:style w:type="character" w:customStyle="1" w:styleId="PolicybodytextChar">
    <w:name w:val="Policy body text Char"/>
    <w:link w:val="Policybodytext"/>
    <w:rsid w:val="00EC4DB3"/>
    <w:rPr>
      <w:rFonts w:ascii="Arial" w:hAnsi="Arial" w:cs="Arial"/>
      <w:bCs/>
      <w:sz w:val="22"/>
      <w:szCs w:val="22"/>
      <w:lang w:val="en-AU" w:eastAsia="en-AU" w:bidi="ar-SA"/>
    </w:rPr>
  </w:style>
  <w:style w:type="paragraph" w:customStyle="1" w:styleId="PolicyHeading2">
    <w:name w:val="Policy Heading 2"/>
    <w:basedOn w:val="Heading2"/>
    <w:link w:val="PolicyHeading2Char"/>
    <w:qFormat/>
    <w:rsid w:val="000D47EC"/>
    <w:rPr>
      <w:i w:val="0"/>
      <w:sz w:val="22"/>
      <w:szCs w:val="22"/>
    </w:rPr>
  </w:style>
  <w:style w:type="paragraph" w:customStyle="1" w:styleId="PolicyHeading1">
    <w:name w:val="Policy Heading 1"/>
    <w:basedOn w:val="Heading1"/>
    <w:link w:val="PolicyHeading1Char"/>
    <w:qFormat/>
    <w:rsid w:val="000D47EC"/>
    <w:rPr>
      <w:rFonts w:ascii="Arial" w:hAnsi="Arial" w:cs="Arial"/>
      <w:sz w:val="26"/>
      <w:szCs w:val="26"/>
    </w:rPr>
  </w:style>
  <w:style w:type="character" w:customStyle="1" w:styleId="Heading2Char">
    <w:name w:val="Heading 2 Char"/>
    <w:link w:val="Heading2"/>
    <w:rsid w:val="000D47EC"/>
    <w:rPr>
      <w:rFonts w:ascii="Arial" w:hAnsi="Arial" w:cs="Arial"/>
      <w:b/>
      <w:bCs/>
      <w:i/>
      <w:iCs/>
      <w:sz w:val="28"/>
      <w:szCs w:val="28"/>
    </w:rPr>
  </w:style>
  <w:style w:type="character" w:customStyle="1" w:styleId="PolicyHeading2Char">
    <w:name w:val="Policy Heading 2 Char"/>
    <w:link w:val="PolicyHeading2"/>
    <w:rsid w:val="000D47EC"/>
    <w:rPr>
      <w:rFonts w:ascii="Arial" w:hAnsi="Arial" w:cs="Arial"/>
      <w:b/>
      <w:bCs/>
      <w:i/>
      <w:iCs/>
      <w:sz w:val="22"/>
      <w:szCs w:val="22"/>
    </w:rPr>
  </w:style>
  <w:style w:type="paragraph" w:customStyle="1" w:styleId="PolicyBulletPoint">
    <w:name w:val="Policy Bullet Point"/>
    <w:basedOn w:val="Policybodytext"/>
    <w:link w:val="PolicyBulletPointChar"/>
    <w:qFormat/>
    <w:rsid w:val="000D47EC"/>
    <w:pPr>
      <w:numPr>
        <w:numId w:val="23"/>
      </w:numPr>
      <w:ind w:left="357" w:hanging="357"/>
    </w:pPr>
  </w:style>
  <w:style w:type="character" w:customStyle="1" w:styleId="PolicyHeading1Char">
    <w:name w:val="Policy Heading 1 Char"/>
    <w:link w:val="PolicyHeading1"/>
    <w:rsid w:val="000D47EC"/>
    <w:rPr>
      <w:rFonts w:ascii="Arial" w:hAnsi="Arial" w:cs="Arial"/>
      <w:b w:val="0"/>
      <w:bCs w:val="0"/>
      <w:kern w:val="32"/>
      <w:sz w:val="26"/>
      <w:szCs w:val="26"/>
    </w:rPr>
  </w:style>
  <w:style w:type="character" w:customStyle="1" w:styleId="FooterChar">
    <w:name w:val="Footer Char"/>
    <w:link w:val="Footer"/>
    <w:uiPriority w:val="99"/>
    <w:rsid w:val="000D47EC"/>
    <w:rPr>
      <w:sz w:val="24"/>
      <w:szCs w:val="24"/>
    </w:rPr>
  </w:style>
  <w:style w:type="character" w:customStyle="1" w:styleId="PolicyBulletPointChar">
    <w:name w:val="Policy Bullet Point Char"/>
    <w:link w:val="PolicyBulletPoint"/>
    <w:rsid w:val="000D47EC"/>
    <w:rPr>
      <w:rFonts w:ascii="Arial" w:hAnsi="Arial" w:cs="Arial"/>
      <w:bCs w:val="0"/>
      <w:sz w:val="22"/>
      <w:szCs w:val="22"/>
      <w:lang w:val="en-AU" w:eastAsia="en-AU" w:bidi="ar-SA"/>
    </w:rPr>
  </w:style>
  <w:style w:type="paragraph" w:styleId="BodyText">
    <w:name w:val="Body Text"/>
    <w:basedOn w:val="Normal"/>
    <w:link w:val="BodyTextChar"/>
    <w:qFormat/>
    <w:rsid w:val="007854AB"/>
    <w:pPr>
      <w:widowControl w:val="0"/>
      <w:ind w:left="1915" w:hanging="360"/>
    </w:pPr>
    <w:rPr>
      <w:rFonts w:ascii="Arial" w:eastAsia="Arial" w:hAnsi="Arial"/>
      <w:lang w:val="en-US" w:eastAsia="en-US"/>
    </w:rPr>
  </w:style>
  <w:style w:type="character" w:customStyle="1" w:styleId="BodyTextChar">
    <w:name w:val="Body Text Char"/>
    <w:link w:val="BodyText"/>
    <w:uiPriority w:val="1"/>
    <w:rsid w:val="007854AB"/>
    <w:rPr>
      <w:rFonts w:ascii="Arial" w:eastAsia="Arial" w:hAnsi="Arial" w:cs="Times New Roman"/>
      <w:sz w:val="24"/>
      <w:szCs w:val="24"/>
      <w:lang w:val="en-US" w:eastAsia="en-US"/>
    </w:rPr>
  </w:style>
  <w:style w:type="character" w:customStyle="1" w:styleId="EndnoteTextChar">
    <w:name w:val="Endnote Text Char"/>
    <w:basedOn w:val="DefaultParagraphFont"/>
    <w:link w:val="EndnoteText"/>
    <w:rsid w:val="00675ADC"/>
  </w:style>
  <w:style w:type="paragraph" w:styleId="Subtitle">
    <w:name w:val="Subtitle"/>
    <w:basedOn w:val="Normal"/>
    <w:next w:val="Normal"/>
    <w:link w:val="SubtitleChar"/>
    <w:uiPriority w:val="11"/>
    <w:qFormat/>
    <w:rsid w:val="00675ADC"/>
    <w:pPr>
      <w:spacing w:after="600" w:line="276" w:lineRule="auto"/>
    </w:pPr>
    <w:rPr>
      <w:rFonts w:ascii="Cambria" w:hAnsi="Cambria"/>
      <w:i/>
      <w:iCs/>
      <w:spacing w:val="13"/>
      <w:lang w:val="en-US" w:eastAsia="en-US" w:bidi="en-US"/>
    </w:rPr>
  </w:style>
  <w:style w:type="character" w:customStyle="1" w:styleId="SubtitleChar">
    <w:name w:val="Subtitle Char"/>
    <w:link w:val="Subtitle"/>
    <w:uiPriority w:val="11"/>
    <w:rsid w:val="00675ADC"/>
    <w:rPr>
      <w:rFonts w:ascii="Cambria" w:hAnsi="Cambria"/>
      <w:i/>
      <w:iCs/>
      <w:spacing w:val="13"/>
      <w:sz w:val="24"/>
      <w:szCs w:val="24"/>
      <w:lang w:val="en-US" w:eastAsia="en-US" w:bidi="en-US"/>
    </w:rPr>
  </w:style>
  <w:style w:type="character" w:styleId="BookTitle">
    <w:name w:val="Book Title"/>
    <w:uiPriority w:val="33"/>
    <w:qFormat/>
    <w:rsid w:val="00675ADC"/>
    <w:rPr>
      <w:i/>
      <w:iCs/>
      <w:smallCaps/>
      <w:spacing w:val="5"/>
    </w:rPr>
  </w:style>
  <w:style w:type="character" w:customStyle="1" w:styleId="apple-converted-space">
    <w:name w:val="apple-converted-space"/>
    <w:basedOn w:val="DefaultParagraphFont"/>
    <w:rsid w:val="009E2038"/>
  </w:style>
  <w:style w:type="table" w:styleId="LightShading">
    <w:name w:val="Light Shading"/>
    <w:basedOn w:val="TableNormal"/>
    <w:uiPriority w:val="60"/>
    <w:rsid w:val="001927F0"/>
    <w:rPr>
      <w:rFonts w:ascii="Times New (W1)" w:hAnsi="Times New (W1)"/>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rsid w:val="00F80543"/>
    <w:rPr>
      <w:sz w:val="20"/>
      <w:szCs w:val="20"/>
    </w:rPr>
  </w:style>
  <w:style w:type="character" w:customStyle="1" w:styleId="FootnoteTextChar">
    <w:name w:val="Footnote Text Char"/>
    <w:basedOn w:val="DefaultParagraphFont"/>
    <w:link w:val="FootnoteText"/>
    <w:rsid w:val="00F80543"/>
  </w:style>
  <w:style w:type="character" w:styleId="FootnoteReference">
    <w:name w:val="footnote reference"/>
    <w:rsid w:val="00F80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hsvic.org.au/wp-content/uploads/AV_Strategy2015_4ppA3_04_EMAIL.pdf" TargetMode="External"/><Relationship Id="rId13" Type="http://schemas.openxmlformats.org/officeDocument/2006/relationships/hyperlink" Target="http://www.cricketvictoria.com.au/files/pages/strategic-plan/CV_Strategic_Plan_2015-17.pdf" TargetMode="External"/><Relationship Id="rId18" Type="http://schemas.openxmlformats.org/officeDocument/2006/relationships/hyperlink" Target="http://lacrossevictoria.com.au/media/127893/Lacrosse-Victoria-Strategic-Plan-2013-2017.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ssets.softball.org.au/dl/vic/Policy/Strategic%20Plan%202014-2018%20Final.pdf" TargetMode="External"/><Relationship Id="rId7" Type="http://schemas.openxmlformats.org/officeDocument/2006/relationships/endnotes" Target="endnotes.xml"/><Relationship Id="rId12" Type="http://schemas.openxmlformats.org/officeDocument/2006/relationships/hyperlink" Target="http://www.bowlsvic.org.au/Portals/7/Documents/strategic%20plan%20summary%202013-17.pdf" TargetMode="External"/><Relationship Id="rId17" Type="http://schemas.openxmlformats.org/officeDocument/2006/relationships/hyperlink" Target="http://www.hockeyvictoria.org.au/LinkClick.aspx?fileticket=0GtNV4zNUPA%3d&amp;portalid=15" TargetMode="External"/><Relationship Id="rId25" Type="http://schemas.openxmlformats.org/officeDocument/2006/relationships/hyperlink" Target="http://www.sport.vic.gov.au/sites/default/files/inquiry_into_women_and_girls_in_sport.pdf" TargetMode="External"/><Relationship Id="rId2" Type="http://schemas.openxmlformats.org/officeDocument/2006/relationships/numbering" Target="numbering.xml"/><Relationship Id="rId16" Type="http://schemas.openxmlformats.org/officeDocument/2006/relationships/hyperlink" Target="https://ultimatevictoria.com.au/images/docs/uv_strategic_plan_2012-2015.pdf" TargetMode="External"/><Relationship Id="rId20" Type="http://schemas.openxmlformats.org/officeDocument/2006/relationships/hyperlink" Target="http://vic.netball.com.au/wp-content/uploads/sites/5/2013/09/NV_StrategicPlan_Digital_FA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eballvictoria.com.au/Portals/34/BV_Strategic_Plan_2012-15_FINAL_web.pdf" TargetMode="External"/><Relationship Id="rId24" Type="http://schemas.openxmlformats.org/officeDocument/2006/relationships/hyperlink" Target="http://www.volleyballvictoria.com.au/fileadmin/user_upload/2014/_12-Dec/2015-17_VV_Strategic_Plan.pdf" TargetMode="External"/><Relationship Id="rId5" Type="http://schemas.openxmlformats.org/officeDocument/2006/relationships/webSettings" Target="webSettings.xml"/><Relationship Id="rId15" Type="http://schemas.openxmlformats.org/officeDocument/2006/relationships/hyperlink" Target="http://www.footballfedvic.com.au/wp-content/uploads/2014/06/FFV_Strategic_Plan_-_FINAL_March_2012.pdf" TargetMode="External"/><Relationship Id="rId23" Type="http://schemas.openxmlformats.org/officeDocument/2006/relationships/hyperlink" Target="http://www.tennis.com.au/vic/files/2015/08/TV_StratPlan_Nov13.pdf" TargetMode="External"/><Relationship Id="rId28" Type="http://schemas.openxmlformats.org/officeDocument/2006/relationships/fontTable" Target="fontTable.xml"/><Relationship Id="rId10" Type="http://schemas.openxmlformats.org/officeDocument/2006/relationships/hyperlink" Target="http://www.vcga.com.au/media/StratPlan/StratPlanV1.pdf" TargetMode="External"/><Relationship Id="rId19" Type="http://schemas.openxmlformats.org/officeDocument/2006/relationships/hyperlink" Target="http://www.croquetvic.asn.au/documents/VCA%20Strategic%20Plan%202013%20-%202017%20.pdf" TargetMode="External"/><Relationship Id="rId4" Type="http://schemas.openxmlformats.org/officeDocument/2006/relationships/settings" Target="settings.xml"/><Relationship Id="rId9" Type="http://schemas.openxmlformats.org/officeDocument/2006/relationships/hyperlink" Target="http://www.aflvic.com.au/wp-content/uploads/2013/12/AFL-Infrastructure-Booklet-FINAL.pdf" TargetMode="External"/><Relationship Id="rId14" Type="http://schemas.openxmlformats.org/officeDocument/2006/relationships/hyperlink" Target="http://vic.cycling.org.au/Portals/17/Policies/Cycling%20Victoria%20Strategic%20Plan%20V2.pdf" TargetMode="External"/><Relationship Id="rId22" Type="http://schemas.openxmlformats.org/officeDocument/2006/relationships/hyperlink" Target="http://tabletennis.org.au/Portals/16/TTA%20Participation%20Operational%20Plan%20-%202011_2015.pdf"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Desktop\MCC%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F07D-360E-4123-99E5-41DDA9A8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Policy Template</Template>
  <TotalTime>1</TotalTime>
  <Pages>7</Pages>
  <Words>2109</Words>
  <Characters>12956</Characters>
  <Application>Microsoft Office Word</Application>
  <DocSecurity>0</DocSecurity>
  <Lines>323</Lines>
  <Paragraphs>228</Paragraphs>
  <ScaleCrop>false</ScaleCrop>
  <HeadingPairs>
    <vt:vector size="2" baseType="variant">
      <vt:variant>
        <vt:lpstr>Title</vt:lpstr>
      </vt:variant>
      <vt:variant>
        <vt:i4>1</vt:i4>
      </vt:variant>
    </vt:vector>
  </HeadingPairs>
  <TitlesOfParts>
    <vt:vector size="1" baseType="lpstr">
      <vt:lpstr>Draft MCC Policy Template v2</vt:lpstr>
    </vt:vector>
  </TitlesOfParts>
  <Company>Government of South Australia, Department for Education and Child Development</Company>
  <LinksUpToDate>false</LinksUpToDate>
  <CharactersWithSpaces>14837</CharactersWithSpaces>
  <SharedDoc>false</SharedDoc>
  <HLinks>
    <vt:vector size="108" baseType="variant">
      <vt:variant>
        <vt:i4>1048579</vt:i4>
      </vt:variant>
      <vt:variant>
        <vt:i4>51</vt:i4>
      </vt:variant>
      <vt:variant>
        <vt:i4>0</vt:i4>
      </vt:variant>
      <vt:variant>
        <vt:i4>5</vt:i4>
      </vt:variant>
      <vt:variant>
        <vt:lpwstr>http://www.sport.vic.gov.au/sites/default/files/inquiry_into_women_and_girls_in_sport.pdf</vt:lpwstr>
      </vt:variant>
      <vt:variant>
        <vt:lpwstr/>
      </vt:variant>
      <vt:variant>
        <vt:i4>4325499</vt:i4>
      </vt:variant>
      <vt:variant>
        <vt:i4>48</vt:i4>
      </vt:variant>
      <vt:variant>
        <vt:i4>0</vt:i4>
      </vt:variant>
      <vt:variant>
        <vt:i4>5</vt:i4>
      </vt:variant>
      <vt:variant>
        <vt:lpwstr>http://www.volleyballvictoria.com.au/fileadmin/user_upload/2014/_12-Dec/2015-17_VV_Strategic_Plan.pdf</vt:lpwstr>
      </vt:variant>
      <vt:variant>
        <vt:lpwstr/>
      </vt:variant>
      <vt:variant>
        <vt:i4>6160461</vt:i4>
      </vt:variant>
      <vt:variant>
        <vt:i4>45</vt:i4>
      </vt:variant>
      <vt:variant>
        <vt:i4>0</vt:i4>
      </vt:variant>
      <vt:variant>
        <vt:i4>5</vt:i4>
      </vt:variant>
      <vt:variant>
        <vt:lpwstr>http://www.tennis.com.au/vic/files/2015/08/TV_StratPlan_Nov13.pdf</vt:lpwstr>
      </vt:variant>
      <vt:variant>
        <vt:lpwstr/>
      </vt:variant>
      <vt:variant>
        <vt:i4>2097225</vt:i4>
      </vt:variant>
      <vt:variant>
        <vt:i4>42</vt:i4>
      </vt:variant>
      <vt:variant>
        <vt:i4>0</vt:i4>
      </vt:variant>
      <vt:variant>
        <vt:i4>5</vt:i4>
      </vt:variant>
      <vt:variant>
        <vt:lpwstr>http://tabletennis.org.au/Portals/16/TTA Participation Operational Plan - 2011_2015.pdf</vt:lpwstr>
      </vt:variant>
      <vt:variant>
        <vt:lpwstr/>
      </vt:variant>
      <vt:variant>
        <vt:i4>7667751</vt:i4>
      </vt:variant>
      <vt:variant>
        <vt:i4>39</vt:i4>
      </vt:variant>
      <vt:variant>
        <vt:i4>0</vt:i4>
      </vt:variant>
      <vt:variant>
        <vt:i4>5</vt:i4>
      </vt:variant>
      <vt:variant>
        <vt:lpwstr>http://assets.softball.org.au/dl/vic/Policy/Strategic Plan 2014-2018 Final.pdf</vt:lpwstr>
      </vt:variant>
      <vt:variant>
        <vt:lpwstr/>
      </vt:variant>
      <vt:variant>
        <vt:i4>2687041</vt:i4>
      </vt:variant>
      <vt:variant>
        <vt:i4>36</vt:i4>
      </vt:variant>
      <vt:variant>
        <vt:i4>0</vt:i4>
      </vt:variant>
      <vt:variant>
        <vt:i4>5</vt:i4>
      </vt:variant>
      <vt:variant>
        <vt:lpwstr>http://vic.netball.com.au/wp-content/uploads/sites/5/2013/09/NV_StrategicPlan_Digital_FA2.pdf</vt:lpwstr>
      </vt:variant>
      <vt:variant>
        <vt:lpwstr/>
      </vt:variant>
      <vt:variant>
        <vt:i4>7471216</vt:i4>
      </vt:variant>
      <vt:variant>
        <vt:i4>33</vt:i4>
      </vt:variant>
      <vt:variant>
        <vt:i4>0</vt:i4>
      </vt:variant>
      <vt:variant>
        <vt:i4>5</vt:i4>
      </vt:variant>
      <vt:variant>
        <vt:lpwstr>http://www.croquetvic.asn.au/documents/VCA Strategic Plan 2013 - 2017 .pdf</vt:lpwstr>
      </vt:variant>
      <vt:variant>
        <vt:lpwstr/>
      </vt:variant>
      <vt:variant>
        <vt:i4>8061039</vt:i4>
      </vt:variant>
      <vt:variant>
        <vt:i4>30</vt:i4>
      </vt:variant>
      <vt:variant>
        <vt:i4>0</vt:i4>
      </vt:variant>
      <vt:variant>
        <vt:i4>5</vt:i4>
      </vt:variant>
      <vt:variant>
        <vt:lpwstr>http://lacrossevictoria.com.au/media/127893/Lacrosse-Victoria-Strategic-Plan-2013-2017.pdf</vt:lpwstr>
      </vt:variant>
      <vt:variant>
        <vt:lpwstr/>
      </vt:variant>
      <vt:variant>
        <vt:i4>852061</vt:i4>
      </vt:variant>
      <vt:variant>
        <vt:i4>27</vt:i4>
      </vt:variant>
      <vt:variant>
        <vt:i4>0</vt:i4>
      </vt:variant>
      <vt:variant>
        <vt:i4>5</vt:i4>
      </vt:variant>
      <vt:variant>
        <vt:lpwstr>http://www.hockeyvictoria.org.au/LinkClick.aspx?fileticket=0GtNV4zNUPA%3d&amp;portalid=15</vt:lpwstr>
      </vt:variant>
      <vt:variant>
        <vt:lpwstr/>
      </vt:variant>
      <vt:variant>
        <vt:i4>852026</vt:i4>
      </vt:variant>
      <vt:variant>
        <vt:i4>24</vt:i4>
      </vt:variant>
      <vt:variant>
        <vt:i4>0</vt:i4>
      </vt:variant>
      <vt:variant>
        <vt:i4>5</vt:i4>
      </vt:variant>
      <vt:variant>
        <vt:lpwstr>https://ultimatevictoria.com.au/images/docs/uv_strategic_plan_2012-2015.pdf</vt:lpwstr>
      </vt:variant>
      <vt:variant>
        <vt:lpwstr/>
      </vt:variant>
      <vt:variant>
        <vt:i4>1572867</vt:i4>
      </vt:variant>
      <vt:variant>
        <vt:i4>21</vt:i4>
      </vt:variant>
      <vt:variant>
        <vt:i4>0</vt:i4>
      </vt:variant>
      <vt:variant>
        <vt:i4>5</vt:i4>
      </vt:variant>
      <vt:variant>
        <vt:lpwstr>http://www.footballfedvic.com.au/wp-content/uploads/2014/06/FFV_Strategic_Plan_-_FINAL_March_2012.pdf</vt:lpwstr>
      </vt:variant>
      <vt:variant>
        <vt:lpwstr/>
      </vt:variant>
      <vt:variant>
        <vt:i4>1900570</vt:i4>
      </vt:variant>
      <vt:variant>
        <vt:i4>18</vt:i4>
      </vt:variant>
      <vt:variant>
        <vt:i4>0</vt:i4>
      </vt:variant>
      <vt:variant>
        <vt:i4>5</vt:i4>
      </vt:variant>
      <vt:variant>
        <vt:lpwstr>http://vic.cycling.org.au/Portals/17/Policies/Cycling Victoria Strategic Plan V2.pdf</vt:lpwstr>
      </vt:variant>
      <vt:variant>
        <vt:lpwstr/>
      </vt:variant>
      <vt:variant>
        <vt:i4>3735624</vt:i4>
      </vt:variant>
      <vt:variant>
        <vt:i4>15</vt:i4>
      </vt:variant>
      <vt:variant>
        <vt:i4>0</vt:i4>
      </vt:variant>
      <vt:variant>
        <vt:i4>5</vt:i4>
      </vt:variant>
      <vt:variant>
        <vt:lpwstr>http://www.cricketvictoria.com.au/files/pages/strategic-plan/CV_Strategic_Plan_2015-17.pdf</vt:lpwstr>
      </vt:variant>
      <vt:variant>
        <vt:lpwstr/>
      </vt:variant>
      <vt:variant>
        <vt:i4>65543</vt:i4>
      </vt:variant>
      <vt:variant>
        <vt:i4>12</vt:i4>
      </vt:variant>
      <vt:variant>
        <vt:i4>0</vt:i4>
      </vt:variant>
      <vt:variant>
        <vt:i4>5</vt:i4>
      </vt:variant>
      <vt:variant>
        <vt:lpwstr>http://www.bowlsvic.org.au/Portals/7/Documents/strategic plan summary 2013-17.pdf</vt:lpwstr>
      </vt:variant>
      <vt:variant>
        <vt:lpwstr/>
      </vt:variant>
      <vt:variant>
        <vt:i4>7077912</vt:i4>
      </vt:variant>
      <vt:variant>
        <vt:i4>9</vt:i4>
      </vt:variant>
      <vt:variant>
        <vt:i4>0</vt:i4>
      </vt:variant>
      <vt:variant>
        <vt:i4>5</vt:i4>
      </vt:variant>
      <vt:variant>
        <vt:lpwstr>http://www.baseballvictoria.com.au/Portals/34/BV_Strategic_Plan_2012-15_FINAL_web.pdf</vt:lpwstr>
      </vt:variant>
      <vt:variant>
        <vt:lpwstr/>
      </vt:variant>
      <vt:variant>
        <vt:i4>7274530</vt:i4>
      </vt:variant>
      <vt:variant>
        <vt:i4>6</vt:i4>
      </vt:variant>
      <vt:variant>
        <vt:i4>0</vt:i4>
      </vt:variant>
      <vt:variant>
        <vt:i4>5</vt:i4>
      </vt:variant>
      <vt:variant>
        <vt:lpwstr>http://www.vcga.com.au/media/StratPlan/StratPlanV1.pdf</vt:lpwstr>
      </vt:variant>
      <vt:variant>
        <vt:lpwstr/>
      </vt:variant>
      <vt:variant>
        <vt:i4>6160477</vt:i4>
      </vt:variant>
      <vt:variant>
        <vt:i4>3</vt:i4>
      </vt:variant>
      <vt:variant>
        <vt:i4>0</vt:i4>
      </vt:variant>
      <vt:variant>
        <vt:i4>5</vt:i4>
      </vt:variant>
      <vt:variant>
        <vt:lpwstr>http://www.aflvic.com.au/wp-content/uploads/2013/12/AFL-Infrastructure-Booklet-FINAL.pdf</vt:lpwstr>
      </vt:variant>
      <vt:variant>
        <vt:lpwstr/>
      </vt:variant>
      <vt:variant>
        <vt:i4>7471214</vt:i4>
      </vt:variant>
      <vt:variant>
        <vt:i4>0</vt:i4>
      </vt:variant>
      <vt:variant>
        <vt:i4>0</vt:i4>
      </vt:variant>
      <vt:variant>
        <vt:i4>5</vt:i4>
      </vt:variant>
      <vt:variant>
        <vt:lpwstr>http://athsvic.org.au/wp-content/uploads/AV_Strategy2015_4ppA3_04_EMAIL.pdf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MCC Policy Template v2</dc:title>
  <dc:subject>Policy Template</dc:subject>
  <dc:creator>shunter</dc:creator>
  <cp:keywords>Policy</cp:keywords>
  <dc:description>Moreland City Council, Council Planning &amp; Performance Branch</dc:description>
  <cp:lastModifiedBy>Dani Schwabe</cp:lastModifiedBy>
  <cp:revision>2</cp:revision>
  <cp:lastPrinted>2016-01-15T04:49:00Z</cp:lastPrinted>
  <dcterms:created xsi:type="dcterms:W3CDTF">2023-01-04T04:20:00Z</dcterms:created>
  <dcterms:modified xsi:type="dcterms:W3CDTF">2023-01-04T04:20:00Z</dcterms:modified>
  <cp:category>Policy,</cp:category>
</cp:coreProperties>
</file>